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43493F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特克斯县乔拉克铁热克镇卫生院2024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2F2C737">
      <w:r>
        <w:br w:type="page"/>
      </w:r>
    </w:p>
    <w:p w14:paraId="57DAB6AC">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59CD4014">
      <w:pPr>
        <w:spacing w:line="640" w:lineRule="exact"/>
        <w:ind w:firstLine="640"/>
        <w:jc w:val="both"/>
        <w:outlineLvl w:val="2"/>
      </w:pPr>
      <w:r>
        <w:rPr>
          <w:rFonts w:ascii="黑体" w:hAnsi="黑体" w:eastAsia="黑体"/>
          <w:sz w:val="32"/>
        </w:rPr>
        <w:t>一、主要职能</w:t>
      </w:r>
    </w:p>
    <w:p w14:paraId="272A49CB">
      <w:pPr>
        <w:spacing w:line="580" w:lineRule="exact"/>
        <w:ind w:firstLine="640"/>
        <w:jc w:val="both"/>
      </w:pPr>
      <w:r>
        <w:rPr>
          <w:rFonts w:ascii="仿宋_GB2312" w:hAnsi="仿宋_GB2312" w:eastAsia="仿宋_GB2312"/>
          <w:sz w:val="32"/>
        </w:rPr>
        <w:t>（一）为人民健康医疗与预防保健服务，常见病多发病治疗和护理。</w:t>
      </w:r>
    </w:p>
    <w:p w14:paraId="3DA19336">
      <w:pPr>
        <w:spacing w:line="580" w:lineRule="exact"/>
        <w:ind w:firstLine="640"/>
        <w:jc w:val="both"/>
      </w:pPr>
      <w:r>
        <w:rPr>
          <w:rFonts w:ascii="仿宋_GB2312" w:hAnsi="仿宋_GB2312" w:eastAsia="仿宋_GB2312"/>
          <w:sz w:val="32"/>
        </w:rPr>
        <w:t>（二）预防保健；卫生人员技术培训。</w:t>
      </w:r>
    </w:p>
    <w:p w14:paraId="78C73721">
      <w:pPr>
        <w:spacing w:line="580" w:lineRule="exact"/>
        <w:ind w:firstLine="640"/>
        <w:jc w:val="both"/>
      </w:pPr>
      <w:r>
        <w:rPr>
          <w:rFonts w:ascii="仿宋_GB2312" w:hAnsi="仿宋_GB2312" w:eastAsia="仿宋_GB2312"/>
          <w:sz w:val="32"/>
        </w:rPr>
        <w:t>（三）疾病控制防疫、妇幼儿童保健、门诊住院医疗、急诊抢救、防病治病等救死扶伤。</w:t>
      </w:r>
    </w:p>
    <w:p w14:paraId="37616332">
      <w:pPr>
        <w:spacing w:line="580" w:lineRule="exact"/>
        <w:ind w:firstLine="640"/>
        <w:jc w:val="both"/>
      </w:pPr>
      <w:r>
        <w:rPr>
          <w:rFonts w:ascii="仿宋_GB2312" w:hAnsi="仿宋_GB2312" w:eastAsia="仿宋_GB2312"/>
          <w:sz w:val="32"/>
        </w:rPr>
        <w:t>（四）承担辖区内乡村级公共卫生的管理并负责村级卫生机构的技术指导和乡村医生的培训。</w:t>
      </w:r>
    </w:p>
    <w:p w14:paraId="57052422">
      <w:pPr>
        <w:spacing w:line="640" w:lineRule="exact"/>
        <w:ind w:firstLine="640"/>
        <w:jc w:val="both"/>
        <w:outlineLvl w:val="2"/>
      </w:pPr>
      <w:r>
        <w:rPr>
          <w:rFonts w:ascii="黑体" w:hAnsi="黑体" w:eastAsia="黑体"/>
          <w:sz w:val="32"/>
        </w:rPr>
        <w:t>二、机构设置及人员情况</w:t>
      </w:r>
    </w:p>
    <w:p w14:paraId="3FBD7102">
      <w:pPr>
        <w:spacing w:line="580" w:lineRule="exact"/>
        <w:ind w:firstLine="640"/>
        <w:jc w:val="both"/>
      </w:pPr>
      <w:r>
        <w:rPr>
          <w:rFonts w:ascii="仿宋_GB2312" w:hAnsi="仿宋_GB2312" w:eastAsia="仿宋_GB2312"/>
          <w:sz w:val="32"/>
        </w:rPr>
        <w:t>特克斯县乔拉克铁热克镇卫生院2024年度，实有人数51人，其中：在职人员38人，增加4人；离休人员0人，增加0人；退休人员13人,增加0人。</w:t>
      </w:r>
    </w:p>
    <w:p w14:paraId="5CBE35B8">
      <w:pPr>
        <w:spacing w:line="580" w:lineRule="exact"/>
        <w:ind w:firstLine="640"/>
        <w:jc w:val="both"/>
      </w:pPr>
      <w:r>
        <w:rPr>
          <w:rFonts w:ascii="仿宋_GB2312" w:hAnsi="仿宋_GB2312" w:eastAsia="仿宋_GB2312"/>
          <w:sz w:val="32"/>
        </w:rPr>
        <w:t>特克斯县乔拉克铁热克镇卫生院无下属预算</w:t>
      </w:r>
      <w:r>
        <w:rPr>
          <w:rFonts w:hint="eastAsia" w:ascii="仿宋_GB2312" w:hAnsi="仿宋_GB2312" w:eastAsia="仿宋_GB2312"/>
          <w:sz w:val="32"/>
          <w:lang w:eastAsia="zh-CN"/>
        </w:rPr>
        <w:t>单位</w:t>
      </w:r>
      <w:r>
        <w:rPr>
          <w:rFonts w:ascii="仿宋_GB2312" w:hAnsi="仿宋_GB2312" w:eastAsia="仿宋_GB2312"/>
          <w:sz w:val="32"/>
        </w:rPr>
        <w:t>，下设6个科室，分别是：体检科、内科、外科、妇产科、药房、公共卫生科。</w:t>
      </w:r>
    </w:p>
    <w:p w14:paraId="6CF60CFC">
      <w:r>
        <w:br w:type="page"/>
      </w:r>
    </w:p>
    <w:p w14:paraId="5DE5EC07">
      <w:pPr>
        <w:spacing w:line="240" w:lineRule="auto"/>
        <w:jc w:val="center"/>
        <w:outlineLvl w:val="1"/>
      </w:pPr>
      <w:r>
        <w:rPr>
          <w:rFonts w:ascii="黑体" w:hAnsi="黑体" w:eastAsia="黑体"/>
          <w:sz w:val="32"/>
        </w:rPr>
        <w:t>第二部分 部门决算情况说明</w:t>
      </w:r>
    </w:p>
    <w:p w14:paraId="0267A9F3">
      <w:pPr>
        <w:spacing w:line="640" w:lineRule="exact"/>
        <w:ind w:firstLine="640"/>
        <w:jc w:val="both"/>
        <w:outlineLvl w:val="2"/>
      </w:pPr>
      <w:r>
        <w:rPr>
          <w:rFonts w:ascii="黑体" w:hAnsi="黑体" w:eastAsia="黑体"/>
          <w:sz w:val="32"/>
        </w:rPr>
        <w:t>一、收入支出决算总体情况说明</w:t>
      </w:r>
    </w:p>
    <w:p w14:paraId="3308AC3F">
      <w:pPr>
        <w:spacing w:line="580" w:lineRule="exact"/>
        <w:ind w:firstLine="640"/>
        <w:jc w:val="both"/>
      </w:pPr>
      <w:r>
        <w:rPr>
          <w:rFonts w:ascii="仿宋_GB2312" w:hAnsi="仿宋_GB2312" w:eastAsia="仿宋_GB2312"/>
          <w:b/>
          <w:sz w:val="32"/>
        </w:rPr>
        <w:t>2024年度收入总计1,213.94万元，</w:t>
      </w:r>
      <w:r>
        <w:rPr>
          <w:rFonts w:ascii="仿宋_GB2312" w:hAnsi="仿宋_GB2312" w:eastAsia="仿宋_GB2312"/>
          <w:b w:val="0"/>
          <w:sz w:val="32"/>
        </w:rPr>
        <w:t>其中：本年收入合计1,213.94万元，使用非财政拨款结余（含专用结余）0.00万元，年初结转和结余0.00万元。</w:t>
      </w:r>
    </w:p>
    <w:p w14:paraId="7BD78939">
      <w:pPr>
        <w:spacing w:line="580" w:lineRule="exact"/>
        <w:ind w:firstLine="640"/>
        <w:jc w:val="both"/>
      </w:pPr>
      <w:r>
        <w:rPr>
          <w:rFonts w:ascii="仿宋_GB2312" w:hAnsi="仿宋_GB2312" w:eastAsia="仿宋_GB2312"/>
          <w:b/>
          <w:sz w:val="32"/>
        </w:rPr>
        <w:t>2024年度支出总计1,213.94万元，</w:t>
      </w:r>
      <w:r>
        <w:rPr>
          <w:rFonts w:ascii="仿宋_GB2312" w:hAnsi="仿宋_GB2312" w:eastAsia="仿宋_GB2312"/>
          <w:b w:val="0"/>
          <w:sz w:val="32"/>
        </w:rPr>
        <w:t>其中：本年支出合计1,213.94万元，结余分配0.00万元，年末结转和结余0.00万元。</w:t>
      </w:r>
    </w:p>
    <w:p w14:paraId="0ED105DB">
      <w:pPr>
        <w:spacing w:line="580" w:lineRule="exact"/>
        <w:ind w:firstLine="640"/>
        <w:jc w:val="both"/>
      </w:pPr>
      <w:r>
        <w:rPr>
          <w:rFonts w:ascii="仿宋_GB2312" w:hAnsi="仿宋_GB2312" w:eastAsia="仿宋_GB2312"/>
          <w:b w:val="0"/>
          <w:sz w:val="32"/>
        </w:rPr>
        <w:t>收入支出总体与上年相比，减少248.56万元，下降17.00%，主要原因是：患者就医多元化，人员流动较多原因，医疗业务收入较上年减少。</w:t>
      </w:r>
    </w:p>
    <w:p w14:paraId="5FC63A95">
      <w:pPr>
        <w:spacing w:line="640" w:lineRule="exact"/>
        <w:ind w:firstLine="640"/>
        <w:jc w:val="both"/>
        <w:outlineLvl w:val="2"/>
      </w:pPr>
      <w:r>
        <w:rPr>
          <w:rFonts w:ascii="黑体" w:hAnsi="黑体" w:eastAsia="黑体"/>
          <w:sz w:val="32"/>
        </w:rPr>
        <w:t>二、收入决算情况说明</w:t>
      </w:r>
    </w:p>
    <w:p w14:paraId="05D7B988">
      <w:pPr>
        <w:spacing w:line="580" w:lineRule="exact"/>
        <w:ind w:firstLine="640"/>
        <w:jc w:val="both"/>
      </w:pPr>
      <w:r>
        <w:rPr>
          <w:rFonts w:ascii="仿宋_GB2312" w:hAnsi="仿宋_GB2312" w:eastAsia="仿宋_GB2312"/>
          <w:b/>
          <w:sz w:val="32"/>
        </w:rPr>
        <w:t>本年收入1,213.94万元，</w:t>
      </w:r>
      <w:r>
        <w:rPr>
          <w:rFonts w:ascii="仿宋_GB2312" w:hAnsi="仿宋_GB2312" w:eastAsia="仿宋_GB2312"/>
          <w:b w:val="0"/>
          <w:sz w:val="32"/>
        </w:rPr>
        <w:t>其中：财政拨款收入862.39万元，占71.04%；上级补助收入0.00万元，占0.00%；事业收入349.55万元，占28.79%；经营收入0.00万元，占0.00%；附属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上缴收入0.00万元，占0.00%；其他收入2.00万元，占0.16%。</w:t>
      </w:r>
    </w:p>
    <w:p w14:paraId="25319EDB">
      <w:pPr>
        <w:spacing w:line="640" w:lineRule="exact"/>
        <w:ind w:firstLine="640"/>
        <w:jc w:val="both"/>
        <w:outlineLvl w:val="2"/>
      </w:pPr>
      <w:r>
        <w:rPr>
          <w:rFonts w:ascii="黑体" w:hAnsi="黑体" w:eastAsia="黑体"/>
          <w:sz w:val="32"/>
        </w:rPr>
        <w:t>三、支出决算情况说明</w:t>
      </w:r>
    </w:p>
    <w:p w14:paraId="5C56FA5F">
      <w:pPr>
        <w:spacing w:line="580" w:lineRule="exact"/>
        <w:ind w:firstLine="640"/>
        <w:jc w:val="both"/>
      </w:pPr>
      <w:r>
        <w:rPr>
          <w:rFonts w:ascii="仿宋_GB2312" w:hAnsi="仿宋_GB2312" w:eastAsia="仿宋_GB2312"/>
          <w:b/>
          <w:sz w:val="32"/>
        </w:rPr>
        <w:t>本年支出1,213.94万元，</w:t>
      </w:r>
      <w:r>
        <w:rPr>
          <w:rFonts w:ascii="仿宋_GB2312" w:hAnsi="仿宋_GB2312" w:eastAsia="仿宋_GB2312"/>
          <w:b w:val="0"/>
          <w:sz w:val="32"/>
        </w:rPr>
        <w:t>其中：基本支出899.75万元，占74.12%；项目支出314.19万元，占25.88%；上缴上级支出0.00万元，占0.00%；经营支出0.00万元，占0.00%；对附属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27D73AC0">
      <w:pPr>
        <w:spacing w:line="640" w:lineRule="exact"/>
        <w:ind w:firstLine="640"/>
        <w:jc w:val="both"/>
        <w:outlineLvl w:val="2"/>
      </w:pPr>
      <w:r>
        <w:rPr>
          <w:rFonts w:ascii="黑体" w:hAnsi="黑体" w:eastAsia="黑体"/>
          <w:sz w:val="32"/>
        </w:rPr>
        <w:t>四、财政拨款收入支出决算总体情况说明</w:t>
      </w:r>
    </w:p>
    <w:p w14:paraId="088678C5">
      <w:pPr>
        <w:spacing w:line="580" w:lineRule="exact"/>
        <w:ind w:firstLine="640"/>
        <w:jc w:val="both"/>
      </w:pPr>
      <w:r>
        <w:rPr>
          <w:rFonts w:ascii="仿宋_GB2312" w:hAnsi="仿宋_GB2312" w:eastAsia="仿宋_GB2312"/>
          <w:b/>
          <w:sz w:val="32"/>
        </w:rPr>
        <w:t>2024年度财政拨款收入总计862.39万元，</w:t>
      </w:r>
      <w:r>
        <w:rPr>
          <w:rFonts w:ascii="仿宋_GB2312" w:hAnsi="仿宋_GB2312" w:eastAsia="仿宋_GB2312"/>
          <w:b w:val="0"/>
          <w:sz w:val="32"/>
        </w:rPr>
        <w:t>其中：年初财政拨款结转和结余0.00万元，本年财政拨款收入862.39万元。</w:t>
      </w:r>
      <w:r>
        <w:rPr>
          <w:rFonts w:ascii="仿宋_GB2312" w:hAnsi="仿宋_GB2312" w:eastAsia="仿宋_GB2312"/>
          <w:b/>
          <w:sz w:val="32"/>
        </w:rPr>
        <w:t>财政拨款支出总计862.39万元，</w:t>
      </w:r>
      <w:r>
        <w:rPr>
          <w:rFonts w:ascii="仿宋_GB2312" w:hAnsi="仿宋_GB2312" w:eastAsia="仿宋_GB2312"/>
          <w:b w:val="0"/>
          <w:sz w:val="32"/>
        </w:rPr>
        <w:t>其中：年末财政拨款结转和结余0.00万元，本年财政拨款支出862.39万元。</w:t>
      </w:r>
    </w:p>
    <w:p w14:paraId="11D6899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增加107.69万元，增长14.27%，主要原因是：本年在职人员增加，相关人员经费增加，增加基本公共卫生补助资金、基本药物制度补助资金、全民体检经费。</w:t>
      </w:r>
      <w:r>
        <w:rPr>
          <w:rFonts w:ascii="仿宋_GB2312" w:hAnsi="仿宋_GB2312" w:eastAsia="仿宋_GB2312"/>
          <w:b/>
          <w:sz w:val="32"/>
        </w:rPr>
        <w:t>与年初预算相比，</w:t>
      </w:r>
      <w:r>
        <w:rPr>
          <w:rFonts w:ascii="仿宋_GB2312" w:hAnsi="仿宋_GB2312" w:eastAsia="仿宋_GB2312"/>
          <w:b w:val="0"/>
          <w:sz w:val="32"/>
        </w:rPr>
        <w:t>年初预算数797.10万元，决算数862.39万元，预决算差异率8.19%，主要原因是：年中追加基本公共卫生补助资金、基本药物制度补助资金、全民体检经费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22B039F1">
      <w:pPr>
        <w:spacing w:line="640" w:lineRule="exact"/>
        <w:ind w:firstLine="640"/>
        <w:jc w:val="both"/>
        <w:outlineLvl w:val="2"/>
      </w:pPr>
      <w:r>
        <w:rPr>
          <w:rFonts w:ascii="黑体" w:hAnsi="黑体" w:eastAsia="黑体"/>
          <w:sz w:val="32"/>
        </w:rPr>
        <w:t>五、一般公共预算财政拨款支出决算情况说明</w:t>
      </w:r>
    </w:p>
    <w:p w14:paraId="11EEBD88">
      <w:pPr>
        <w:spacing w:line="640" w:lineRule="exact"/>
        <w:ind w:firstLine="640"/>
        <w:jc w:val="both"/>
        <w:outlineLvl w:val="3"/>
      </w:pPr>
      <w:r>
        <w:rPr>
          <w:rFonts w:ascii="楷体_GB2312" w:hAnsi="楷体_GB2312" w:eastAsia="楷体_GB2312"/>
          <w:b/>
          <w:sz w:val="32"/>
        </w:rPr>
        <w:t>（一）一般公共预算财政拨款支出决算总体情况</w:t>
      </w:r>
    </w:p>
    <w:p w14:paraId="1D5FCF29">
      <w:pPr>
        <w:spacing w:line="580" w:lineRule="exact"/>
        <w:ind w:firstLine="640"/>
        <w:jc w:val="both"/>
      </w:pPr>
      <w:r>
        <w:rPr>
          <w:rFonts w:ascii="仿宋_GB2312" w:hAnsi="仿宋_GB2312" w:eastAsia="仿宋_GB2312"/>
          <w:b/>
          <w:sz w:val="32"/>
        </w:rPr>
        <w:t>2024年度一般公共预算财政拨款支出862.39万元，</w:t>
      </w:r>
      <w:r>
        <w:rPr>
          <w:rFonts w:ascii="仿宋_GB2312" w:hAnsi="仿宋_GB2312" w:eastAsia="仿宋_GB2312"/>
          <w:b w:val="0"/>
          <w:sz w:val="32"/>
        </w:rPr>
        <w:t>占本年支出合计的71.04%。</w:t>
      </w:r>
      <w:r>
        <w:rPr>
          <w:rFonts w:ascii="仿宋_GB2312" w:hAnsi="仿宋_GB2312" w:eastAsia="仿宋_GB2312"/>
          <w:b/>
          <w:sz w:val="32"/>
        </w:rPr>
        <w:t>与上年相比，</w:t>
      </w:r>
      <w:r>
        <w:rPr>
          <w:rFonts w:ascii="仿宋_GB2312" w:hAnsi="仿宋_GB2312" w:eastAsia="仿宋_GB2312"/>
          <w:b w:val="0"/>
          <w:sz w:val="32"/>
        </w:rPr>
        <w:t>增加107.69万元，增长14.27%，主要原因是：本年在职人员增加，相关人员经费增加，增加基本公共卫生补助资金、基本药物制度补助资金、全民体检经费。</w:t>
      </w:r>
      <w:r>
        <w:rPr>
          <w:rFonts w:ascii="仿宋_GB2312" w:hAnsi="仿宋_GB2312" w:eastAsia="仿宋_GB2312"/>
          <w:b/>
          <w:sz w:val="32"/>
        </w:rPr>
        <w:t>与年初预算相比,</w:t>
      </w:r>
      <w:r>
        <w:rPr>
          <w:rFonts w:ascii="仿宋_GB2312" w:hAnsi="仿宋_GB2312" w:eastAsia="仿宋_GB2312"/>
          <w:b w:val="0"/>
          <w:sz w:val="32"/>
        </w:rPr>
        <w:t>年初预算数797.10万元，决算数862.39万元，预决算差异率8.19%，主要原因是：年中追加基本公共卫生补助资金、基本药物制度补助资金、全民体检经费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0C79BC4D">
      <w:pPr>
        <w:spacing w:line="640" w:lineRule="exact"/>
        <w:ind w:firstLine="640"/>
        <w:jc w:val="both"/>
        <w:outlineLvl w:val="3"/>
      </w:pPr>
      <w:r>
        <w:rPr>
          <w:rFonts w:ascii="楷体_GB2312" w:hAnsi="楷体_GB2312" w:eastAsia="楷体_GB2312"/>
          <w:b/>
          <w:sz w:val="32"/>
        </w:rPr>
        <w:t>（二）一般公共预算财政拨款支出决算结构情况</w:t>
      </w:r>
    </w:p>
    <w:p w14:paraId="175CD89C">
      <w:pPr>
        <w:spacing w:line="580" w:lineRule="exact"/>
        <w:ind w:firstLine="640"/>
        <w:jc w:val="both"/>
      </w:pPr>
      <w:r>
        <w:rPr>
          <w:rFonts w:ascii="仿宋_GB2312" w:hAnsi="仿宋_GB2312" w:eastAsia="仿宋_GB2312"/>
          <w:b w:val="0"/>
          <w:sz w:val="32"/>
        </w:rPr>
        <w:t>1.社会保障和就业支出(类)56.32万元,占6.53%。</w:t>
      </w:r>
    </w:p>
    <w:p w14:paraId="2161CE7A">
      <w:pPr>
        <w:spacing w:line="580" w:lineRule="exact"/>
        <w:ind w:firstLine="640"/>
        <w:jc w:val="both"/>
      </w:pPr>
      <w:r>
        <w:rPr>
          <w:rFonts w:ascii="仿宋_GB2312" w:hAnsi="仿宋_GB2312" w:eastAsia="仿宋_GB2312"/>
          <w:b w:val="0"/>
          <w:sz w:val="32"/>
        </w:rPr>
        <w:t>2.卫生健康支出(类)763.45万元,占88.53%。</w:t>
      </w:r>
    </w:p>
    <w:p w14:paraId="07344205">
      <w:pPr>
        <w:spacing w:line="580" w:lineRule="exact"/>
        <w:ind w:firstLine="640"/>
        <w:jc w:val="both"/>
      </w:pPr>
      <w:r>
        <w:rPr>
          <w:rFonts w:ascii="仿宋_GB2312" w:hAnsi="仿宋_GB2312" w:eastAsia="仿宋_GB2312"/>
          <w:b w:val="0"/>
          <w:sz w:val="32"/>
        </w:rPr>
        <w:t>3.住房保障支出(类)42.62万元,占4.94%。</w:t>
      </w:r>
    </w:p>
    <w:p w14:paraId="5263E0C8">
      <w:pPr>
        <w:spacing w:line="640" w:lineRule="exact"/>
        <w:ind w:firstLine="640"/>
        <w:jc w:val="both"/>
        <w:outlineLvl w:val="3"/>
      </w:pPr>
      <w:r>
        <w:rPr>
          <w:rFonts w:ascii="楷体_GB2312" w:hAnsi="楷体_GB2312" w:eastAsia="楷体_GB2312"/>
          <w:b/>
          <w:sz w:val="32"/>
        </w:rPr>
        <w:t>（三）一般公共预算财政拨款支出决算具体情况</w:t>
      </w:r>
    </w:p>
    <w:p w14:paraId="3B0E6BEB">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基本养老保险缴费支出(项):支出决算数为54.02万元，比上年决算增加9.78万元，增长22.11%,主要原因是：本年在职人员增加，工资基数调增，养老缴费基数上涨，相应支出增加。</w:t>
      </w:r>
    </w:p>
    <w:p w14:paraId="7C803698">
      <w:pPr>
        <w:spacing w:line="580" w:lineRule="exact"/>
        <w:ind w:firstLine="640"/>
        <w:jc w:val="both"/>
      </w:pPr>
      <w:r>
        <w:rPr>
          <w:rFonts w:ascii="仿宋_GB2312" w:hAnsi="仿宋_GB2312" w:eastAsia="仿宋_GB2312"/>
          <w:b w:val="0"/>
          <w:sz w:val="32"/>
        </w:rPr>
        <w:t>2.社会保障和就业支出(类)抚恤(款)死亡抚恤(项):支出决算数为2.30万元，比上年决算减少5.61万元，下降70.92%,主要原因是：本年无新增死亡人员，</w:t>
      </w:r>
      <w:r>
        <w:rPr>
          <w:rFonts w:hint="eastAsia" w:ascii="仿宋_GB2312" w:hAnsi="仿宋_GB2312" w:eastAsia="仿宋_GB2312"/>
          <w:b w:val="0"/>
          <w:sz w:val="32"/>
          <w:lang w:val="en-US" w:eastAsia="zh-CN"/>
        </w:rPr>
        <w:t>仅发放遗属人员补助，</w:t>
      </w:r>
      <w:r>
        <w:rPr>
          <w:rFonts w:ascii="仿宋_GB2312" w:hAnsi="仿宋_GB2312" w:eastAsia="仿宋_GB2312"/>
          <w:b w:val="0"/>
          <w:sz w:val="32"/>
        </w:rPr>
        <w:t>死亡抚恤支出较上年减少。</w:t>
      </w:r>
    </w:p>
    <w:p w14:paraId="75FBFAD4">
      <w:pPr>
        <w:spacing w:line="580" w:lineRule="exact"/>
        <w:ind w:firstLine="640"/>
        <w:jc w:val="both"/>
      </w:pPr>
      <w:r>
        <w:rPr>
          <w:rFonts w:ascii="仿宋_GB2312" w:hAnsi="仿宋_GB2312" w:eastAsia="仿宋_GB2312"/>
          <w:b w:val="0"/>
          <w:sz w:val="32"/>
        </w:rPr>
        <w:t>3.卫生健康支出(类)基层医疗卫生机构(款)乡镇卫生院(项):支出决算数为426.75万元，比上年决算增加38.30万元，增长9.86%,主要原因是：本年在职人员增加，工资调增，人员经费增加。</w:t>
      </w:r>
    </w:p>
    <w:p w14:paraId="7C4EE01B">
      <w:pPr>
        <w:spacing w:line="580" w:lineRule="exact"/>
        <w:ind w:firstLine="640"/>
        <w:jc w:val="both"/>
      </w:pPr>
      <w:r>
        <w:rPr>
          <w:rFonts w:ascii="仿宋_GB2312" w:hAnsi="仿宋_GB2312" w:eastAsia="仿宋_GB2312"/>
          <w:b w:val="0"/>
          <w:sz w:val="32"/>
        </w:rPr>
        <w:t>4.卫生健康支出(类)基层医疗卫生机构(款)其他基层医疗卫生机构支出(项):支出决算数为55.43万元，比上年决算增加28.79万元，增长108.07%,主要原因是：本年度村基本药物及卫生院药品款增加，基本药物制度补助资金增加。</w:t>
      </w:r>
    </w:p>
    <w:p w14:paraId="65E33D8B">
      <w:pPr>
        <w:spacing w:line="580" w:lineRule="exact"/>
        <w:ind w:firstLine="640"/>
        <w:jc w:val="both"/>
      </w:pPr>
      <w:r>
        <w:rPr>
          <w:rFonts w:ascii="仿宋_GB2312" w:hAnsi="仿宋_GB2312" w:eastAsia="仿宋_GB2312"/>
          <w:b w:val="0"/>
          <w:sz w:val="32"/>
        </w:rPr>
        <w:t>5.卫生健康支出(类)公共卫生(款)基本公共卫生服务(项):支出决算数为192.73万元，比上年决算增加2.26万元，增长1.19%,主要原因是：本年度村医随访工作量增加，试剂耗材用量较大，因此基本公共卫生资金增加。</w:t>
      </w:r>
    </w:p>
    <w:p w14:paraId="27B02603">
      <w:pPr>
        <w:spacing w:line="580" w:lineRule="exact"/>
        <w:ind w:firstLine="640"/>
        <w:jc w:val="both"/>
      </w:pPr>
      <w:r>
        <w:rPr>
          <w:rFonts w:ascii="仿宋_GB2312" w:hAnsi="仿宋_GB2312" w:eastAsia="仿宋_GB2312"/>
          <w:b w:val="0"/>
          <w:sz w:val="32"/>
        </w:rPr>
        <w:t>6.卫生健康支出(类)公共卫生(款)重大公共卫生服务(项):支出决算数为66.02万元，比上年决算增加66.02万元，增长100.00%,主要原因是：本年功能科目调整，全民体检资金上年度在其他公共卫生科目列支，本年</w:t>
      </w:r>
      <w:r>
        <w:rPr>
          <w:rFonts w:hint="eastAsia" w:ascii="仿宋_GB2312" w:hAnsi="仿宋_GB2312" w:eastAsia="仿宋_GB2312"/>
          <w:b w:val="0"/>
          <w:sz w:val="32"/>
          <w:lang w:val="en-US" w:eastAsia="zh-CN"/>
        </w:rPr>
        <w:t>在本科目</w:t>
      </w:r>
      <w:r>
        <w:rPr>
          <w:rFonts w:ascii="仿宋_GB2312" w:hAnsi="仿宋_GB2312" w:eastAsia="仿宋_GB2312"/>
          <w:b w:val="0"/>
          <w:sz w:val="32"/>
        </w:rPr>
        <w:t>列支，且经费较上年增加。</w:t>
      </w:r>
    </w:p>
    <w:p w14:paraId="6B8CE9B9">
      <w:pPr>
        <w:spacing w:line="580" w:lineRule="exact"/>
        <w:ind w:firstLine="640"/>
        <w:jc w:val="both"/>
      </w:pPr>
      <w:r>
        <w:rPr>
          <w:rFonts w:ascii="仿宋_GB2312" w:hAnsi="仿宋_GB2312" w:eastAsia="仿宋_GB2312"/>
          <w:b w:val="0"/>
          <w:sz w:val="32"/>
        </w:rPr>
        <w:t>7.卫生健康支出(类)公共卫生(款)其他公共卫生支出(项):支出决算数为0.00万元，比上年决算减少41.19万元，下降100.00%,主要原因是：本年功能科目调整，全民体检资金上年度在其他公共卫生科目列支，本年度调整为重大公共卫生</w:t>
      </w:r>
      <w:r>
        <w:rPr>
          <w:rFonts w:hint="eastAsia" w:ascii="仿宋_GB2312" w:hAnsi="仿宋_GB2312" w:eastAsia="仿宋_GB2312"/>
          <w:b w:val="0"/>
          <w:sz w:val="32"/>
          <w:lang w:val="en-US" w:eastAsia="zh-CN"/>
        </w:rPr>
        <w:t>科目</w:t>
      </w:r>
      <w:r>
        <w:rPr>
          <w:rFonts w:ascii="仿宋_GB2312" w:hAnsi="仿宋_GB2312" w:eastAsia="仿宋_GB2312"/>
          <w:b w:val="0"/>
          <w:sz w:val="32"/>
        </w:rPr>
        <w:t>支出，因此较上年减少。</w:t>
      </w:r>
    </w:p>
    <w:p w14:paraId="5A030EE8">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医疗(项):支出决算数为22.10万元，比上年决算增加2.17万元，增长10.89%,主要原因是：本年在职人员增加，工资基数调增，医疗缴费基数上涨，相应支出增加。</w:t>
      </w:r>
    </w:p>
    <w:p w14:paraId="58DA1ABB">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医疗支出(项):支出决算数为0.42万元，比上年决算减少0.13万元，下降23.64%,主要原因是：本年因退休人员医疗保险制度改革，退休人员大</w:t>
      </w:r>
      <w:r>
        <w:rPr>
          <w:rFonts w:hint="eastAsia" w:ascii="仿宋_GB2312" w:hAnsi="仿宋_GB2312" w:eastAsia="仿宋_GB2312"/>
          <w:b w:val="0"/>
          <w:sz w:val="32"/>
          <w:lang w:eastAsia="zh-CN"/>
        </w:rPr>
        <w:t>病保</w:t>
      </w:r>
      <w:r>
        <w:rPr>
          <w:rFonts w:ascii="仿宋_GB2312" w:hAnsi="仿宋_GB2312" w:eastAsia="仿宋_GB2312"/>
          <w:b w:val="0"/>
          <w:sz w:val="32"/>
        </w:rPr>
        <w:t>险不再由</w:t>
      </w:r>
      <w:r>
        <w:rPr>
          <w:rFonts w:hint="eastAsia" w:ascii="仿宋_GB2312" w:hAnsi="仿宋_GB2312" w:eastAsia="仿宋_GB2312"/>
          <w:b w:val="0"/>
          <w:sz w:val="32"/>
          <w:lang w:eastAsia="zh-CN"/>
        </w:rPr>
        <w:t>单位</w:t>
      </w:r>
      <w:r>
        <w:rPr>
          <w:rFonts w:ascii="仿宋_GB2312" w:hAnsi="仿宋_GB2312" w:eastAsia="仿宋_GB2312"/>
          <w:b w:val="0"/>
          <w:sz w:val="32"/>
        </w:rPr>
        <w:t>缴纳，导致经费较上年减少。</w:t>
      </w:r>
    </w:p>
    <w:p w14:paraId="1827FE8E">
      <w:pPr>
        <w:spacing w:line="580" w:lineRule="exact"/>
        <w:ind w:firstLine="640"/>
        <w:jc w:val="both"/>
      </w:pPr>
      <w:r>
        <w:rPr>
          <w:rFonts w:ascii="仿宋_GB2312" w:hAnsi="仿宋_GB2312" w:eastAsia="仿宋_GB2312"/>
          <w:b w:val="0"/>
          <w:sz w:val="32"/>
        </w:rPr>
        <w:t>10.住房保障支出(类)住房改革支出(款)住房公积金(项):支出决算数为42.62万元，比上年决算增加7.30万元，增长20.67%,主要原因是：本年在职人员增加，工资基数调增，公积金缴费基数上涨，相应支出增加。</w:t>
      </w:r>
    </w:p>
    <w:p w14:paraId="09956597">
      <w:pPr>
        <w:spacing w:line="640" w:lineRule="exact"/>
        <w:ind w:firstLine="640"/>
        <w:jc w:val="both"/>
        <w:outlineLvl w:val="2"/>
      </w:pPr>
      <w:r>
        <w:rPr>
          <w:rFonts w:ascii="黑体" w:hAnsi="黑体" w:eastAsia="黑体"/>
          <w:sz w:val="32"/>
        </w:rPr>
        <w:t>六、一般公共预算财政拨款基本支出决算情况说明</w:t>
      </w:r>
    </w:p>
    <w:p w14:paraId="2F6E5BE3">
      <w:pPr>
        <w:spacing w:line="580" w:lineRule="exact"/>
        <w:ind w:firstLine="640"/>
        <w:jc w:val="both"/>
      </w:pPr>
      <w:r>
        <w:rPr>
          <w:rFonts w:ascii="仿宋_GB2312" w:hAnsi="仿宋_GB2312" w:eastAsia="仿宋_GB2312"/>
          <w:b w:val="0"/>
          <w:sz w:val="32"/>
        </w:rPr>
        <w:t>2024年度一般公共预算财政拨款基本支出548.20万元，其中：</w:t>
      </w:r>
      <w:r>
        <w:rPr>
          <w:rFonts w:ascii="仿宋_GB2312" w:hAnsi="仿宋_GB2312" w:eastAsia="仿宋_GB2312"/>
          <w:b/>
          <w:sz w:val="32"/>
        </w:rPr>
        <w:t>人员经费547.81万元，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基本养老保险缴费、职工基本医疗保险缴费、其他社会保障缴费、住房公积金、退休费、生活补助。</w:t>
      </w:r>
    </w:p>
    <w:p w14:paraId="2A24944F">
      <w:pPr>
        <w:spacing w:line="580" w:lineRule="exact"/>
        <w:ind w:firstLine="640"/>
        <w:jc w:val="both"/>
      </w:pPr>
      <w:r>
        <w:rPr>
          <w:rFonts w:ascii="仿宋_GB2312" w:hAnsi="仿宋_GB2312" w:eastAsia="仿宋_GB2312"/>
          <w:b/>
          <w:sz w:val="32"/>
        </w:rPr>
        <w:t>公用经费0.39万元，</w:t>
      </w:r>
      <w:r>
        <w:rPr>
          <w:rFonts w:ascii="仿宋_GB2312" w:hAnsi="仿宋_GB2312" w:eastAsia="仿宋_GB2312"/>
          <w:b w:val="0"/>
          <w:sz w:val="32"/>
        </w:rPr>
        <w:t>包括：工会经费。</w:t>
      </w:r>
    </w:p>
    <w:p w14:paraId="4EE69167">
      <w:pPr>
        <w:spacing w:line="640" w:lineRule="exact"/>
        <w:ind w:firstLine="640"/>
        <w:jc w:val="both"/>
        <w:outlineLvl w:val="2"/>
      </w:pPr>
      <w:r>
        <w:rPr>
          <w:rFonts w:ascii="黑体" w:hAnsi="黑体" w:eastAsia="黑体"/>
          <w:sz w:val="32"/>
        </w:rPr>
        <w:t>七、政府性基金预算财政拨款收入支出决算情况说明</w:t>
      </w:r>
    </w:p>
    <w:p w14:paraId="0CF7F5DF">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270E4EA6">
      <w:pPr>
        <w:spacing w:line="640" w:lineRule="exact"/>
        <w:ind w:firstLine="640"/>
        <w:jc w:val="both"/>
        <w:outlineLvl w:val="2"/>
      </w:pPr>
      <w:r>
        <w:rPr>
          <w:rFonts w:ascii="黑体" w:hAnsi="黑体" w:eastAsia="黑体"/>
          <w:sz w:val="32"/>
        </w:rPr>
        <w:t>八、国有资本经营预算财政拨款收入支出决算情况说明</w:t>
      </w:r>
    </w:p>
    <w:p w14:paraId="456E0D89">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52156552">
      <w:pPr>
        <w:spacing w:line="640" w:lineRule="exact"/>
        <w:ind w:firstLine="640"/>
        <w:jc w:val="both"/>
        <w:outlineLvl w:val="2"/>
      </w:pPr>
      <w:r>
        <w:rPr>
          <w:rFonts w:ascii="黑体" w:hAnsi="黑体" w:eastAsia="黑体"/>
          <w:sz w:val="32"/>
        </w:rPr>
        <w:t>九、财政拨款“三公”经费支出决算情况说明</w:t>
      </w:r>
    </w:p>
    <w:p w14:paraId="0E670CE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E01895E">
      <w:pPr>
        <w:spacing w:line="580" w:lineRule="exact"/>
        <w:ind w:firstLine="640"/>
        <w:jc w:val="both"/>
      </w:pPr>
      <w:r>
        <w:rPr>
          <w:rFonts w:ascii="仿宋_GB2312" w:hAnsi="仿宋_GB2312" w:eastAsia="仿宋_GB2312"/>
          <w:b/>
          <w:sz w:val="32"/>
        </w:rPr>
        <w:t>具体情况如下：</w:t>
      </w:r>
    </w:p>
    <w:p w14:paraId="54D7F5C2">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2F08E002">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无公务用车运行维护费。公务用车购置数0辆，公务用车保有量0辆。国有资产占用情况中固定资产车辆2辆，与公务用车保有量差异原因是：</w:t>
      </w:r>
      <w:r>
        <w:rPr>
          <w:rFonts w:hint="eastAsia" w:ascii="仿宋_GB2312" w:hAnsi="仿宋_GB2312" w:eastAsia="仿宋_GB2312"/>
          <w:b w:val="0"/>
          <w:sz w:val="32"/>
          <w:lang w:eastAsia="zh-CN"/>
        </w:rPr>
        <w:t>单位</w:t>
      </w:r>
      <w:r>
        <w:rPr>
          <w:rFonts w:ascii="仿宋_GB2312" w:hAnsi="仿宋_GB2312" w:eastAsia="仿宋_GB2312"/>
          <w:b w:val="0"/>
          <w:sz w:val="32"/>
        </w:rPr>
        <w:t>业务用车，车辆费用未使用财政拨款公务用车运行维护费支付，由</w:t>
      </w:r>
      <w:r>
        <w:rPr>
          <w:rFonts w:hint="eastAsia" w:ascii="仿宋_GB2312" w:hAnsi="仿宋_GB2312" w:eastAsia="仿宋_GB2312"/>
          <w:b w:val="0"/>
          <w:sz w:val="32"/>
          <w:lang w:eastAsia="zh-CN"/>
        </w:rPr>
        <w:t>单位</w:t>
      </w:r>
      <w:r>
        <w:rPr>
          <w:rFonts w:ascii="仿宋_GB2312" w:hAnsi="仿宋_GB2312" w:eastAsia="仿宋_GB2312"/>
          <w:b w:val="0"/>
          <w:sz w:val="32"/>
        </w:rPr>
        <w:t>自有资金经费保障。</w:t>
      </w:r>
    </w:p>
    <w:p w14:paraId="00D6AEBF">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76FDE48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04734F4E">
      <w:pPr>
        <w:spacing w:line="640" w:lineRule="exact"/>
        <w:ind w:firstLine="640"/>
        <w:jc w:val="both"/>
        <w:outlineLvl w:val="2"/>
      </w:pPr>
      <w:r>
        <w:rPr>
          <w:rFonts w:ascii="黑体" w:hAnsi="黑体" w:eastAsia="黑体"/>
          <w:sz w:val="32"/>
        </w:rPr>
        <w:t>十、其他重要事项的情况说明</w:t>
      </w:r>
    </w:p>
    <w:p w14:paraId="3B73BAFF">
      <w:pPr>
        <w:spacing w:line="640" w:lineRule="exact"/>
        <w:ind w:firstLine="640"/>
        <w:jc w:val="both"/>
        <w:outlineLvl w:val="3"/>
      </w:pPr>
      <w:r>
        <w:rPr>
          <w:rFonts w:ascii="楷体_GB2312" w:hAnsi="楷体_GB2312" w:eastAsia="楷体_GB2312"/>
          <w:b/>
          <w:sz w:val="32"/>
        </w:rPr>
        <w:t>（一）机关运行经费及公用经费支出情况</w:t>
      </w:r>
    </w:p>
    <w:p w14:paraId="188515B1">
      <w:pPr>
        <w:spacing w:line="580" w:lineRule="exact"/>
        <w:ind w:firstLine="640"/>
        <w:jc w:val="both"/>
      </w:pPr>
      <w:r>
        <w:rPr>
          <w:rFonts w:ascii="仿宋_GB2312" w:hAnsi="仿宋_GB2312" w:eastAsia="仿宋_GB2312"/>
          <w:b w:val="0"/>
          <w:sz w:val="32"/>
        </w:rPr>
        <w:t>2024年度特克斯县乔拉克铁热克镇卫生院（事业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）公用经费支出0.39万元，比上年增加0.39万元，增长100.00%，主要原因是：本年度</w:t>
      </w:r>
      <w:r>
        <w:rPr>
          <w:rFonts w:hint="eastAsia" w:ascii="仿宋_GB2312" w:hAnsi="仿宋_GB2312" w:eastAsia="仿宋_GB2312"/>
          <w:b w:val="0"/>
          <w:sz w:val="32"/>
          <w:lang w:val="en-US" w:eastAsia="zh-CN"/>
        </w:rPr>
        <w:t>安排财政拨款公用经费，增加</w:t>
      </w:r>
      <w:r>
        <w:rPr>
          <w:rFonts w:ascii="仿宋_GB2312" w:hAnsi="仿宋_GB2312" w:eastAsia="仿宋_GB2312"/>
          <w:b w:val="0"/>
          <w:sz w:val="32"/>
        </w:rPr>
        <w:t>工会经费。</w:t>
      </w:r>
    </w:p>
    <w:p w14:paraId="435E48B0">
      <w:pPr>
        <w:spacing w:line="640" w:lineRule="exact"/>
        <w:ind w:firstLine="640"/>
        <w:jc w:val="both"/>
        <w:outlineLvl w:val="3"/>
      </w:pPr>
      <w:r>
        <w:rPr>
          <w:rFonts w:ascii="楷体_GB2312" w:hAnsi="楷体_GB2312" w:eastAsia="楷体_GB2312"/>
          <w:b/>
          <w:sz w:val="32"/>
        </w:rPr>
        <w:t>（二）政府采购情况</w:t>
      </w:r>
    </w:p>
    <w:p w14:paraId="74243113">
      <w:pPr>
        <w:spacing w:line="580" w:lineRule="exact"/>
        <w:ind w:firstLine="640"/>
        <w:jc w:val="both"/>
      </w:pPr>
      <w:r>
        <w:rPr>
          <w:rFonts w:ascii="仿宋_GB2312" w:hAnsi="仿宋_GB2312" w:eastAsia="仿宋_GB2312"/>
          <w:b w:val="0"/>
          <w:sz w:val="32"/>
        </w:rPr>
        <w:t>2024年度政府采购支出总额17.35万元，其中：政府采购货物支出16.59万元、政府采购工程支出0.00万元、政府采购服务支出0.76万元。</w:t>
      </w:r>
    </w:p>
    <w:p w14:paraId="356B031D">
      <w:pPr>
        <w:spacing w:line="580" w:lineRule="exact"/>
        <w:ind w:firstLine="640"/>
        <w:jc w:val="both"/>
      </w:pPr>
      <w:r>
        <w:rPr>
          <w:rFonts w:ascii="仿宋_GB2312" w:hAnsi="仿宋_GB2312" w:eastAsia="仿宋_GB2312"/>
          <w:b w:val="0"/>
          <w:sz w:val="32"/>
        </w:rPr>
        <w:t>授予中小企业合同金额17.35万元，占政府采购支出总额的100.00%，其中：授予小微企业合同金额17.35万元，占政府采购支出总额的100.00%。</w:t>
      </w:r>
    </w:p>
    <w:p w14:paraId="30B7B714">
      <w:pPr>
        <w:spacing w:line="640" w:lineRule="exact"/>
        <w:ind w:firstLine="640"/>
        <w:jc w:val="both"/>
        <w:outlineLvl w:val="3"/>
      </w:pPr>
      <w:r>
        <w:rPr>
          <w:rFonts w:ascii="楷体_GB2312" w:hAnsi="楷体_GB2312" w:eastAsia="楷体_GB2312"/>
          <w:b/>
          <w:sz w:val="32"/>
        </w:rPr>
        <w:t>（三）国有资产占用情况说明</w:t>
      </w:r>
    </w:p>
    <w:p w14:paraId="234D8F0D">
      <w:pPr>
        <w:spacing w:line="580" w:lineRule="exact"/>
        <w:ind w:firstLine="640"/>
        <w:jc w:val="both"/>
      </w:pPr>
      <w:r>
        <w:rPr>
          <w:rFonts w:ascii="仿宋_GB2312" w:hAnsi="仿宋_GB2312" w:eastAsia="仿宋_GB2312"/>
          <w:b w:val="0"/>
          <w:sz w:val="32"/>
        </w:rPr>
        <w:t>截至2024年12月31日，房屋3,283.70平方米，价值422.73万元。车辆2辆，价值43.36万元，其中：副部（省）级及以上领导用车0辆、主要负责人用车0辆、机要通信用车0辆、应急保障用车0辆、执法执勤用车0辆、特种专业技术用车0辆、离退休干部服务用车0辆、其他用车2辆，其他用车主要是：</w:t>
      </w:r>
      <w:r>
        <w:rPr>
          <w:rFonts w:hint="eastAsia" w:ascii="仿宋_GB2312" w:hAnsi="仿宋_GB2312" w:eastAsia="仿宋_GB2312"/>
          <w:b w:val="0"/>
          <w:sz w:val="32"/>
          <w:lang w:eastAsia="zh-CN"/>
        </w:rPr>
        <w:t>单位</w:t>
      </w:r>
      <w:r>
        <w:rPr>
          <w:rFonts w:ascii="仿宋_GB2312" w:hAnsi="仿宋_GB2312" w:eastAsia="仿宋_GB2312"/>
          <w:b w:val="0"/>
          <w:sz w:val="32"/>
        </w:rPr>
        <w:t>业务用车。单价100万元（含）以上设备（不含车辆）2台（套）。</w:t>
      </w:r>
    </w:p>
    <w:p w14:paraId="7665381E">
      <w:pPr>
        <w:spacing w:line="640" w:lineRule="exact"/>
        <w:ind w:firstLine="640"/>
        <w:jc w:val="both"/>
        <w:outlineLvl w:val="2"/>
      </w:pPr>
      <w:r>
        <w:rPr>
          <w:rFonts w:ascii="黑体" w:hAnsi="黑体" w:eastAsia="黑体"/>
          <w:sz w:val="32"/>
        </w:rPr>
        <w:t>十一、预算绩效的情况说明</w:t>
      </w:r>
    </w:p>
    <w:p w14:paraId="266DC691">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1,213.94万元，实际执行总额1,213.94万元；预算绩效评价项目2个，全年预算数420.00万元，全年执行数420.00万元。预算绩效管理取得的成效：一是预算资金执行过程中均按照年初预算分配情况均做到专款专用，未出现资金侵、挪占情况；二是全年按照部门预算进行成本控制，全部控制在厉行节约指标数内。其他支出按财政部门下达的计划实施，全年没有项目超支，积极推动各项医疗卫生工作取得了新的进展，为促进经济持续健康发展与社会和谐稳定提供了有力的财政支撑和医疗保障。发现的问题及原因：一是由于个别项目指标到第四季度下达，在预算执行中造成个别预算子项调剂现象；对个别项目资金使用方面预算不够细致，出现实际支出数超出了预算申报数或出现项目资金结余数额多的情况，导致调剂频繁，缺乏预算编制的科学性。二是项目细化管理工作不足。三是预算绩效管理水平仍有欠缺。在2024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坚持“滚石上山”，提升的空间</w:t>
      </w:r>
      <w:r>
        <w:rPr>
          <w:rFonts w:hint="eastAsia" w:ascii="仿宋_GB2312" w:hAnsi="仿宋_GB2312" w:eastAsia="仿宋_GB2312"/>
          <w:b w:val="0"/>
          <w:sz w:val="32"/>
          <w:lang w:eastAsia="zh-CN"/>
        </w:rPr>
        <w:t>还</w:t>
      </w:r>
      <w:r>
        <w:rPr>
          <w:rFonts w:ascii="仿宋_GB2312" w:hAnsi="仿宋_GB2312" w:eastAsia="仿宋_GB2312"/>
          <w:b w:val="0"/>
          <w:sz w:val="32"/>
        </w:rPr>
        <w:t>很大。下一步改进措施：一是制定和完善基本支出、项目支出等各项支出标准,严格按项目进度执行预算,增强预算的约束力和严肃性；二是落实预算执行分析,及时了解预算执行差异,合理调整、纠正预算执行偏差，切实提高部门预算收支管理水平。尽可能地做到决算与预算相衔接；三是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具体附整体支出绩效自评表，项目支出绩效自评表和评价报告。</w:t>
      </w:r>
    </w:p>
    <w:p w14:paraId="1CEED5C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DE3C0B5">
        <w:tblPrEx>
          <w:tblCellMar>
            <w:top w:w="0" w:type="dxa"/>
            <w:left w:w="108" w:type="dxa"/>
            <w:bottom w:w="0" w:type="dxa"/>
            <w:right w:w="108" w:type="dxa"/>
          </w:tblCellMar>
        </w:tblPrEx>
        <w:tc>
          <w:tcPr>
            <w:tcW w:w="8840" w:type="dxa"/>
            <w:gridSpan w:val="8"/>
            <w:vAlign w:val="center"/>
          </w:tcPr>
          <w:p w14:paraId="529E30B1">
            <w:pPr>
              <w:jc w:val="center"/>
            </w:pPr>
            <w:r>
              <w:rPr>
                <w:rFonts w:hint="eastAsia" w:ascii="宋体" w:hAnsi="宋体"/>
                <w:sz w:val="24"/>
                <w:lang w:eastAsia="zh-CN"/>
              </w:rPr>
              <w:t>单位</w:t>
            </w:r>
            <w:r>
              <w:rPr>
                <w:rFonts w:ascii="宋体" w:hAnsi="宋体" w:eastAsia="宋体"/>
                <w:sz w:val="24"/>
              </w:rPr>
              <w:t>整体支出绩效自评表</w:t>
            </w:r>
          </w:p>
        </w:tc>
      </w:tr>
      <w:tr w14:paraId="31E18657">
        <w:tblPrEx>
          <w:tblCellMar>
            <w:top w:w="0" w:type="dxa"/>
            <w:left w:w="108" w:type="dxa"/>
            <w:bottom w:w="0" w:type="dxa"/>
            <w:right w:w="108" w:type="dxa"/>
          </w:tblCellMar>
        </w:tblPrEx>
        <w:tc>
          <w:tcPr>
            <w:tcW w:w="8840" w:type="dxa"/>
            <w:gridSpan w:val="8"/>
            <w:vAlign w:val="center"/>
          </w:tcPr>
          <w:p w14:paraId="3EC1E164">
            <w:pPr>
              <w:jc w:val="center"/>
            </w:pPr>
            <w:r>
              <w:rPr>
                <w:rFonts w:ascii="宋体" w:hAnsi="宋体" w:eastAsia="宋体"/>
                <w:sz w:val="24"/>
              </w:rPr>
              <w:t>（2024年度）</w:t>
            </w:r>
          </w:p>
        </w:tc>
      </w:tr>
      <w:tr w14:paraId="11BCEA5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2CB6A5">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613A81">
            <w:pPr>
              <w:jc w:val="center"/>
            </w:pPr>
            <w:r>
              <w:rPr>
                <w:rFonts w:ascii="宋体" w:hAnsi="宋体" w:eastAsia="宋体"/>
                <w:sz w:val="16"/>
              </w:rPr>
              <w:t>特克斯县乔拉克铁热克镇卫生院</w:t>
            </w:r>
          </w:p>
        </w:tc>
      </w:tr>
      <w:tr w14:paraId="7F6F960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45D39">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3A1E6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83A0ED">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342D59">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42E346">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19531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A89BC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97EE3D">
            <w:pPr>
              <w:jc w:val="center"/>
            </w:pPr>
            <w:r>
              <w:rPr>
                <w:rFonts w:ascii="宋体" w:hAnsi="宋体" w:eastAsia="宋体"/>
                <w:sz w:val="16"/>
              </w:rPr>
              <w:t>得分</w:t>
            </w:r>
          </w:p>
        </w:tc>
      </w:tr>
      <w:tr w14:paraId="7228972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5D3BA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C8E47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056BD0">
            <w:pPr>
              <w:jc w:val="center"/>
            </w:pPr>
            <w:r>
              <w:rPr>
                <w:rFonts w:ascii="宋体" w:hAnsi="宋体" w:eastAsia="宋体"/>
                <w:sz w:val="16"/>
              </w:rPr>
              <w:t>1,187.09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B70C4E">
            <w:pPr>
              <w:jc w:val="center"/>
            </w:pPr>
            <w:r>
              <w:rPr>
                <w:rFonts w:ascii="宋体" w:hAnsi="宋体" w:eastAsia="宋体"/>
                <w:sz w:val="16"/>
              </w:rPr>
              <w:t>1,213.94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1124EA">
            <w:pPr>
              <w:jc w:val="center"/>
            </w:pPr>
            <w:r>
              <w:rPr>
                <w:rFonts w:ascii="宋体" w:hAnsi="宋体" w:eastAsia="宋体"/>
                <w:sz w:val="16"/>
              </w:rPr>
              <w:t>1,213.94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D3D6A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CFBBA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4C7455">
            <w:pPr>
              <w:jc w:val="center"/>
            </w:pPr>
            <w:r>
              <w:rPr>
                <w:rFonts w:hint="eastAsia" w:ascii="宋体" w:hAnsi="宋体"/>
                <w:sz w:val="16"/>
                <w:lang w:val="en-US" w:eastAsia="zh-CN"/>
              </w:rPr>
              <w:t>1</w:t>
            </w:r>
            <w:r>
              <w:rPr>
                <w:rFonts w:ascii="宋体" w:hAnsi="宋体" w:eastAsia="宋体"/>
                <w:sz w:val="16"/>
              </w:rPr>
              <w:t>0</w:t>
            </w:r>
          </w:p>
        </w:tc>
      </w:tr>
      <w:tr w14:paraId="4811CC8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A51F3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47F770">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645318">
            <w:pPr>
              <w:jc w:val="center"/>
            </w:pPr>
            <w:r>
              <w:rPr>
                <w:rFonts w:ascii="宋体" w:hAnsi="宋体" w:eastAsia="宋体"/>
                <w:sz w:val="16"/>
              </w:rPr>
              <w:t>277.64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70267F">
            <w:pPr>
              <w:jc w:val="center"/>
            </w:pPr>
            <w:r>
              <w:rPr>
                <w:rFonts w:ascii="宋体" w:hAnsi="宋体" w:eastAsia="宋体"/>
                <w:sz w:val="16"/>
              </w:rPr>
              <w:t>314.19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E60362">
            <w:pPr>
              <w:jc w:val="center"/>
            </w:pPr>
            <w:r>
              <w:rPr>
                <w:rFonts w:ascii="宋体" w:hAnsi="宋体" w:eastAsia="宋体"/>
                <w:sz w:val="16"/>
              </w:rPr>
              <w:t>314.19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330F6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3AD08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B744CD">
            <w:pPr>
              <w:jc w:val="center"/>
            </w:pPr>
            <w:r>
              <w:rPr>
                <w:rFonts w:ascii="宋体" w:hAnsi="宋体" w:eastAsia="宋体"/>
                <w:sz w:val="16"/>
              </w:rPr>
              <w:t>-</w:t>
            </w:r>
          </w:p>
        </w:tc>
      </w:tr>
      <w:tr w14:paraId="4AF4F9C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AF0FF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1C4ECA">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993792">
            <w:pPr>
              <w:jc w:val="center"/>
            </w:pPr>
            <w:r>
              <w:rPr>
                <w:rFonts w:ascii="宋体" w:hAnsi="宋体" w:eastAsia="宋体"/>
                <w:sz w:val="16"/>
              </w:rPr>
              <w:t>519.45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2CF7EC">
            <w:pPr>
              <w:jc w:val="center"/>
            </w:pPr>
            <w:r>
              <w:rPr>
                <w:rFonts w:ascii="宋体" w:hAnsi="宋体" w:eastAsia="宋体"/>
                <w:sz w:val="16"/>
              </w:rPr>
              <w:t>548.20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02855A">
            <w:pPr>
              <w:jc w:val="center"/>
            </w:pPr>
            <w:r>
              <w:rPr>
                <w:rFonts w:ascii="宋体" w:hAnsi="宋体" w:eastAsia="宋体"/>
                <w:sz w:val="16"/>
              </w:rPr>
              <w:t>548.20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E9800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FB77B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7F2847">
            <w:pPr>
              <w:jc w:val="center"/>
            </w:pPr>
            <w:r>
              <w:rPr>
                <w:rFonts w:ascii="宋体" w:hAnsi="宋体" w:eastAsia="宋体"/>
                <w:sz w:val="16"/>
              </w:rPr>
              <w:t>-</w:t>
            </w:r>
          </w:p>
        </w:tc>
      </w:tr>
      <w:tr w14:paraId="0816C76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24ECD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44225C">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852AAC">
            <w:pPr>
              <w:jc w:val="center"/>
            </w:pPr>
            <w:r>
              <w:rPr>
                <w:rFonts w:ascii="宋体" w:hAnsi="宋体" w:eastAsia="宋体"/>
                <w:sz w:val="16"/>
              </w:rPr>
              <w:t>390.00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FCC3D5">
            <w:pPr>
              <w:jc w:val="center"/>
            </w:pPr>
            <w:r>
              <w:rPr>
                <w:rFonts w:ascii="宋体" w:hAnsi="宋体" w:eastAsia="宋体"/>
                <w:sz w:val="16"/>
              </w:rPr>
              <w:t>351.55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243F51">
            <w:pPr>
              <w:jc w:val="center"/>
            </w:pPr>
            <w:r>
              <w:rPr>
                <w:rFonts w:ascii="宋体" w:hAnsi="宋体" w:eastAsia="宋体"/>
                <w:sz w:val="16"/>
              </w:rPr>
              <w:t>351.55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6B543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90E17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153F56">
            <w:pPr>
              <w:jc w:val="center"/>
            </w:pPr>
            <w:r>
              <w:rPr>
                <w:rFonts w:ascii="宋体" w:hAnsi="宋体" w:eastAsia="宋体"/>
                <w:sz w:val="16"/>
              </w:rPr>
              <w:t>-</w:t>
            </w:r>
          </w:p>
        </w:tc>
      </w:tr>
      <w:tr w14:paraId="6E2C22A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EF31E">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5C91F8">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4B9AE8">
            <w:pPr>
              <w:jc w:val="center"/>
            </w:pPr>
            <w:r>
              <w:rPr>
                <w:rFonts w:ascii="宋体" w:hAnsi="宋体" w:eastAsia="宋体"/>
                <w:sz w:val="16"/>
              </w:rPr>
              <w:t>实际完成情况</w:t>
            </w:r>
          </w:p>
        </w:tc>
      </w:tr>
      <w:tr w14:paraId="56E7B98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CCD0E2"/>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F3AA2E">
            <w:pPr>
              <w:jc w:val="both"/>
            </w:pPr>
            <w:r>
              <w:rPr>
                <w:rFonts w:ascii="宋体" w:hAnsi="宋体" w:eastAsia="宋体"/>
                <w:sz w:val="16"/>
              </w:rPr>
              <w:t>贯彻落实自治区专项补助资金项目实施方案、特克斯县国民经济和社会发展第十四个五年规划和2023年远景目标纲。全面推进乡镇卫生院体系建设。1.为人民健康医疗与预防保健服务，常见病多发病的治疗和护理；预防保健。2.职能有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村级卫生机构的技术指导和对乡村医生的培训。</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BD0E7B">
            <w:pPr>
              <w:jc w:val="both"/>
            </w:pPr>
            <w:r>
              <w:rPr>
                <w:rFonts w:ascii="宋体" w:hAnsi="宋体" w:eastAsia="宋体"/>
                <w:sz w:val="16"/>
              </w:rPr>
              <w:t>全面推进乡镇卫生院体系建设。1.为人民健康医疗与预防保健服务，常见病多发病的治疗和护理；预防保健。2.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村级卫生机构的技术指导和对乡村医生的培训。</w:t>
            </w:r>
          </w:p>
        </w:tc>
      </w:tr>
      <w:tr w14:paraId="66CA079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507227">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CD3C0F">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EB829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D58EF5">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32DEB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41976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A24EBE">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42B49D">
            <w:pPr>
              <w:jc w:val="center"/>
            </w:pPr>
            <w:r>
              <w:rPr>
                <w:rFonts w:ascii="宋体" w:hAnsi="宋体" w:eastAsia="宋体"/>
                <w:sz w:val="16"/>
              </w:rPr>
              <w:t>得分</w:t>
            </w:r>
          </w:p>
        </w:tc>
      </w:tr>
      <w:tr w14:paraId="69E5ECF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57A0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070EF">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69BC91">
            <w:pPr>
              <w:jc w:val="center"/>
            </w:pPr>
            <w:r>
              <w:rPr>
                <w:rFonts w:ascii="宋体" w:hAnsi="宋体" w:eastAsia="宋体"/>
                <w:sz w:val="16"/>
              </w:rPr>
              <w:t>医疗服务收入占比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5DA5AF">
            <w:pPr>
              <w:jc w:val="center"/>
            </w:pPr>
            <w:r>
              <w:rPr>
                <w:rFonts w:ascii="宋体" w:hAnsi="宋体" w:eastAsia="宋体"/>
                <w:sz w:val="16"/>
              </w:rPr>
              <w:t>&gt;=30%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C6EF91">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B2067E">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A222BD">
            <w:pPr>
              <w:jc w:val="center"/>
            </w:pPr>
            <w:r>
              <w:rPr>
                <w:rFonts w:ascii="宋体" w:hAnsi="宋体" w:eastAsia="宋体"/>
                <w:sz w:val="16"/>
              </w:rPr>
              <w:t>49.21%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0811CE">
            <w:pPr>
              <w:jc w:val="center"/>
            </w:pPr>
            <w:r>
              <w:rPr>
                <w:rFonts w:ascii="宋体" w:hAnsi="宋体" w:eastAsia="宋体"/>
                <w:sz w:val="16"/>
              </w:rPr>
              <w:t>30</w:t>
            </w:r>
          </w:p>
        </w:tc>
      </w:tr>
      <w:tr w14:paraId="7EAC84F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04A5C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73C52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D2FB8F">
            <w:pPr>
              <w:jc w:val="center"/>
            </w:pPr>
            <w:r>
              <w:rPr>
                <w:rFonts w:ascii="宋体" w:hAnsi="宋体" w:eastAsia="宋体"/>
                <w:sz w:val="16"/>
              </w:rPr>
              <w:t>公共卫生服务管理率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AC90B0">
            <w:pPr>
              <w:jc w:val="center"/>
            </w:pPr>
            <w:r>
              <w:rPr>
                <w:rFonts w:ascii="宋体" w:hAnsi="宋体" w:eastAsia="宋体"/>
                <w:sz w:val="16"/>
              </w:rPr>
              <w:t>&gt;=75%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0209BE">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670195">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C38426">
            <w:pPr>
              <w:jc w:val="center"/>
            </w:pPr>
            <w:r>
              <w:rPr>
                <w:rFonts w:ascii="宋体" w:hAnsi="宋体" w:eastAsia="宋体"/>
                <w:sz w:val="16"/>
              </w:rPr>
              <w: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233FBB">
            <w:pPr>
              <w:jc w:val="center"/>
            </w:pPr>
            <w:r>
              <w:rPr>
                <w:rFonts w:ascii="宋体" w:hAnsi="宋体" w:eastAsia="宋体"/>
                <w:sz w:val="16"/>
              </w:rPr>
              <w:t>30</w:t>
            </w:r>
          </w:p>
        </w:tc>
      </w:tr>
      <w:tr w14:paraId="060F649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8A592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627E91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468A6E">
            <w:pPr>
              <w:jc w:val="center"/>
            </w:pPr>
            <w:r>
              <w:rPr>
                <w:rFonts w:ascii="宋体" w:hAnsi="宋体" w:eastAsia="宋体"/>
                <w:sz w:val="16"/>
              </w:rPr>
              <w:t>全民体检人数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16EA27">
            <w:pPr>
              <w:jc w:val="center"/>
            </w:pPr>
            <w:r>
              <w:rPr>
                <w:rFonts w:ascii="宋体" w:hAnsi="宋体" w:eastAsia="宋体"/>
                <w:sz w:val="16"/>
              </w:rPr>
              <w:t>=22110人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1E2794">
            <w:pPr>
              <w:jc w:val="center"/>
            </w:pPr>
            <w:r>
              <w:rPr>
                <w:rFonts w:ascii="宋体" w:hAnsi="宋体" w:eastAsia="宋体"/>
                <w:sz w:val="16"/>
              </w:rPr>
              <w:t>2024年度全民健康体检目标人数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E8757F">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1ECC69">
            <w:pPr>
              <w:jc w:val="center"/>
            </w:pPr>
            <w:r>
              <w:rPr>
                <w:rFonts w:ascii="宋体" w:hAnsi="宋体" w:eastAsia="宋体"/>
                <w:sz w:val="16"/>
              </w:rPr>
              <w:t>20455人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6BE196">
            <w:pPr>
              <w:jc w:val="center"/>
            </w:pPr>
            <w:r>
              <w:rPr>
                <w:rFonts w:ascii="宋体" w:hAnsi="宋体" w:eastAsia="宋体"/>
                <w:sz w:val="16"/>
              </w:rPr>
              <w:t>28</w:t>
            </w:r>
          </w:p>
        </w:tc>
      </w:tr>
    </w:tbl>
    <w:p w14:paraId="6FFAAF3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E3932CF">
        <w:tblPrEx>
          <w:tblCellMar>
            <w:top w:w="0" w:type="dxa"/>
            <w:left w:w="108" w:type="dxa"/>
            <w:bottom w:w="0" w:type="dxa"/>
            <w:right w:w="108" w:type="dxa"/>
          </w:tblCellMar>
        </w:tblPrEx>
        <w:tc>
          <w:tcPr>
            <w:tcW w:w="8848" w:type="dxa"/>
            <w:gridSpan w:val="14"/>
            <w:vAlign w:val="center"/>
          </w:tcPr>
          <w:p w14:paraId="721B0BD9">
            <w:pPr>
              <w:jc w:val="center"/>
            </w:pPr>
            <w:r>
              <w:rPr>
                <w:rFonts w:ascii="宋体" w:hAnsi="宋体" w:eastAsia="宋体"/>
                <w:sz w:val="24"/>
              </w:rPr>
              <w:t>项目支出绩效自评表</w:t>
            </w:r>
          </w:p>
        </w:tc>
      </w:tr>
      <w:tr w14:paraId="46CCF6B9">
        <w:tblPrEx>
          <w:tblCellMar>
            <w:top w:w="0" w:type="dxa"/>
            <w:left w:w="108" w:type="dxa"/>
            <w:bottom w:w="0" w:type="dxa"/>
            <w:right w:w="108" w:type="dxa"/>
          </w:tblCellMar>
        </w:tblPrEx>
        <w:tc>
          <w:tcPr>
            <w:tcW w:w="8848" w:type="dxa"/>
            <w:gridSpan w:val="14"/>
            <w:vAlign w:val="center"/>
          </w:tcPr>
          <w:p w14:paraId="1D27AE58">
            <w:pPr>
              <w:jc w:val="center"/>
            </w:pPr>
            <w:r>
              <w:rPr>
                <w:rFonts w:ascii="宋体" w:hAnsi="宋体" w:eastAsia="宋体"/>
                <w:sz w:val="24"/>
              </w:rPr>
              <w:t>(2024年度)</w:t>
            </w:r>
          </w:p>
        </w:tc>
      </w:tr>
      <w:tr w14:paraId="3985CA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72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166DB8">
            <w:pPr>
              <w:jc w:val="center"/>
            </w:pPr>
            <w:r>
              <w:rPr>
                <w:rFonts w:ascii="宋体" w:hAnsi="宋体" w:eastAsia="宋体"/>
                <w:sz w:val="16"/>
              </w:rPr>
              <w:t>2024年中央医疗服务与保障能力提升（医疗卫生机构能力建设）绩效目标：</w:t>
            </w:r>
          </w:p>
        </w:tc>
      </w:tr>
      <w:tr w14:paraId="50155F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59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CE10AF">
            <w:pPr>
              <w:jc w:val="center"/>
            </w:pPr>
            <w:r>
              <w:rPr>
                <w:rFonts w:ascii="宋体" w:hAnsi="宋体" w:eastAsia="宋体"/>
                <w:sz w:val="16"/>
              </w:rPr>
              <w:t>特克斯县乔拉克铁热克镇卫生院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5077">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533ED9">
            <w:pPr>
              <w:jc w:val="center"/>
            </w:pPr>
            <w:r>
              <w:rPr>
                <w:rFonts w:ascii="宋体" w:hAnsi="宋体" w:eastAsia="宋体"/>
                <w:sz w:val="16"/>
              </w:rPr>
              <w:t>特克斯县乔拉克铁热克镇卫生院</w:t>
            </w:r>
          </w:p>
        </w:tc>
      </w:tr>
      <w:tr w14:paraId="0D468B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9124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487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5A4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8702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35E7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F2F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ADF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8154">
            <w:pPr>
              <w:jc w:val="center"/>
            </w:pPr>
            <w:r>
              <w:rPr>
                <w:rFonts w:ascii="宋体" w:hAnsi="宋体" w:eastAsia="宋体"/>
                <w:sz w:val="16"/>
              </w:rPr>
              <w:t>得分</w:t>
            </w:r>
          </w:p>
        </w:tc>
      </w:tr>
      <w:tr w14:paraId="0B9D30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CEB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945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B758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C08F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69731">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DF9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99C2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E5DD">
            <w:pPr>
              <w:jc w:val="center"/>
            </w:pPr>
            <w:r>
              <w:rPr>
                <w:rFonts w:ascii="宋体" w:hAnsi="宋体" w:eastAsia="宋体"/>
                <w:sz w:val="16"/>
              </w:rPr>
              <w:t>10.00</w:t>
            </w:r>
          </w:p>
        </w:tc>
      </w:tr>
      <w:tr w14:paraId="31670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FCE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D114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3DF9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6D4F8">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122C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A87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DE7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17434">
            <w:pPr>
              <w:jc w:val="center"/>
            </w:pPr>
            <w:r>
              <w:rPr>
                <w:rFonts w:ascii="宋体" w:hAnsi="宋体" w:eastAsia="宋体"/>
                <w:sz w:val="16"/>
              </w:rPr>
              <w:t>—</w:t>
            </w:r>
          </w:p>
        </w:tc>
      </w:tr>
      <w:tr w14:paraId="089A1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847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D45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66B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74F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631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BBC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C5E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50FC">
            <w:pPr>
              <w:jc w:val="center"/>
            </w:pPr>
            <w:r>
              <w:rPr>
                <w:rFonts w:ascii="宋体" w:hAnsi="宋体" w:eastAsia="宋体"/>
                <w:sz w:val="16"/>
              </w:rPr>
              <w:t>—</w:t>
            </w:r>
          </w:p>
        </w:tc>
      </w:tr>
      <w:tr w14:paraId="460E7F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7E2C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8FAD6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4BBBC9">
            <w:pPr>
              <w:jc w:val="center"/>
            </w:pPr>
            <w:r>
              <w:rPr>
                <w:rFonts w:ascii="宋体" w:hAnsi="宋体" w:eastAsia="宋体"/>
                <w:sz w:val="16"/>
              </w:rPr>
              <w:t>实际完成情况</w:t>
            </w:r>
          </w:p>
        </w:tc>
      </w:tr>
      <w:tr w14:paraId="010798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C07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ECB9E0">
            <w:pPr>
              <w:jc w:val="both"/>
            </w:pPr>
            <w:r>
              <w:rPr>
                <w:rFonts w:ascii="宋体" w:hAnsi="宋体" w:eastAsia="宋体"/>
                <w:sz w:val="16"/>
              </w:rPr>
              <w:t>通过项目建设，全面提升医疗卫生机构综合能力，加强特克斯县域医共体建设，进一步完善县域医共体信息化建设。支持乔拉克铁热克镇卫生院、喀拉达拉镇卫生院能力提升，进一步完善县域医疗卫生服务体系，提高县域就诊率。业务用房达到标准化，布局科学合理;明显提高对常见病、多发病的诊治水平，特别是急诊科、外科、产科、儿科、中医科、康复科的业务能力。使基本公共卫生服务项目实施绩效明显高于县域基层医疗卫生机构平均水平，为辖区内居民提供优质的医疗卫生服务，从而提高居民对卫生服务的满意度，提高群众获得感、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09E222">
            <w:pPr>
              <w:jc w:val="both"/>
            </w:pPr>
            <w:r>
              <w:rPr>
                <w:rFonts w:ascii="宋体" w:hAnsi="宋体" w:eastAsia="宋体"/>
                <w:sz w:val="16"/>
              </w:rPr>
              <w:t>根据2024年中央医疗服务与保障能力提升（医疗卫生机构能力建设）补助资金30万元，完成购入设备30万元，进一步明确基本功能定位，建立起维护公益性、调动人员积极性、保障运行可持续性的机制，提高了医疗服务水平。</w:t>
            </w:r>
          </w:p>
        </w:tc>
      </w:tr>
      <w:tr w14:paraId="438FB7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64B5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20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213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69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A1F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9E5F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230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EB4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D78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06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712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AD0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37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6E27">
            <w:pPr>
              <w:jc w:val="center"/>
            </w:pPr>
            <w:r>
              <w:rPr>
                <w:rFonts w:ascii="宋体" w:hAnsi="宋体" w:eastAsia="宋体"/>
                <w:sz w:val="16"/>
              </w:rPr>
              <w:t>偏差原因分析及改进措施</w:t>
            </w:r>
          </w:p>
        </w:tc>
      </w:tr>
      <w:tr w14:paraId="2C1A61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5CA9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C46F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066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D985">
            <w:pPr>
              <w:jc w:val="center"/>
            </w:pPr>
            <w:r>
              <w:rPr>
                <w:rFonts w:ascii="宋体" w:hAnsi="宋体" w:eastAsia="宋体"/>
                <w:sz w:val="16"/>
              </w:rPr>
              <w:t>按病种付费的住院参保人员占总住院参保人员的比例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8E0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52C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97B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B50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FC1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3F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1F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E1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37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46E4C">
            <w:pPr>
              <w:jc w:val="center"/>
            </w:pPr>
          </w:p>
        </w:tc>
      </w:tr>
      <w:tr w14:paraId="0239BA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A38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D2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6C4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3946C">
            <w:pPr>
              <w:jc w:val="center"/>
            </w:pPr>
            <w:r>
              <w:rPr>
                <w:rFonts w:ascii="宋体" w:hAnsi="宋体" w:eastAsia="宋体"/>
                <w:sz w:val="16"/>
              </w:rPr>
              <w:t>开展各类宣传次数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B2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F60F5">
            <w:pPr>
              <w:jc w:val="center"/>
            </w:pPr>
            <w:r>
              <w:rPr>
                <w:rFonts w:ascii="宋体" w:hAnsi="宋体" w:eastAsia="宋体"/>
                <w:sz w:val="16"/>
              </w:rPr>
              <w:t>&gt;=4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F20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8C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DF0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34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6C4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49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714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DA44E">
            <w:pPr>
              <w:jc w:val="center"/>
            </w:pPr>
          </w:p>
        </w:tc>
      </w:tr>
      <w:tr w14:paraId="55D583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226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019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D35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DEEC">
            <w:pPr>
              <w:jc w:val="center"/>
            </w:pPr>
            <w:r>
              <w:rPr>
                <w:rFonts w:ascii="宋体" w:hAnsi="宋体" w:eastAsia="宋体"/>
                <w:sz w:val="16"/>
              </w:rPr>
              <w:t>开展业务培训次数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DEAB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C626">
            <w:pPr>
              <w:jc w:val="center"/>
            </w:pPr>
            <w:r>
              <w:rPr>
                <w:rFonts w:ascii="宋体" w:hAnsi="宋体" w:eastAsia="宋体"/>
                <w:sz w:val="16"/>
              </w:rPr>
              <w:t>&gt;=6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33D7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C7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0CF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569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171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E7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B5B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FA2D">
            <w:pPr>
              <w:jc w:val="center"/>
            </w:pPr>
          </w:p>
        </w:tc>
      </w:tr>
      <w:tr w14:paraId="6404EF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84D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4F4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197D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92F6">
            <w:pPr>
              <w:jc w:val="center"/>
            </w:pPr>
            <w:r>
              <w:rPr>
                <w:rFonts w:ascii="宋体" w:hAnsi="宋体" w:eastAsia="宋体"/>
                <w:sz w:val="16"/>
              </w:rPr>
              <w:t>医院平均住院日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28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B8F9A">
            <w:pPr>
              <w:jc w:val="center"/>
            </w:pPr>
            <w:r>
              <w:rPr>
                <w:rFonts w:ascii="宋体" w:hAnsi="宋体" w:eastAsia="宋体"/>
                <w:sz w:val="16"/>
              </w:rPr>
              <w:t>&lt;=7天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AF0A">
            <w:pPr>
              <w:jc w:val="center"/>
            </w:pPr>
            <w:r>
              <w:rPr>
                <w:rFonts w:ascii="宋体" w:hAnsi="宋体" w:eastAsia="宋体"/>
                <w:sz w:val="16"/>
              </w:rPr>
              <w: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2C6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0BA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A5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34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B15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1A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86420">
            <w:pPr>
              <w:jc w:val="center"/>
            </w:pPr>
          </w:p>
        </w:tc>
      </w:tr>
      <w:tr w14:paraId="21C832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A51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EAC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37C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D261">
            <w:pPr>
              <w:jc w:val="center"/>
            </w:pPr>
            <w:r>
              <w:rPr>
                <w:rFonts w:ascii="宋体" w:hAnsi="宋体" w:eastAsia="宋体"/>
                <w:sz w:val="16"/>
              </w:rPr>
              <w:t>人才培训合格率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0B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3C8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4DE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77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6EE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9E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4FC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65F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A8A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23D2">
            <w:pPr>
              <w:jc w:val="center"/>
            </w:pPr>
          </w:p>
        </w:tc>
      </w:tr>
      <w:tr w14:paraId="7950EA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525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3DB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94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D267E">
            <w:pPr>
              <w:jc w:val="center"/>
            </w:pPr>
            <w:r>
              <w:rPr>
                <w:rFonts w:ascii="宋体" w:hAnsi="宋体" w:eastAsia="宋体"/>
                <w:sz w:val="16"/>
              </w:rPr>
              <w:t>贯彻各项工作完成率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638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D30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4D33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7B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F46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71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79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19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EEB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B680">
            <w:pPr>
              <w:jc w:val="center"/>
            </w:pPr>
          </w:p>
        </w:tc>
      </w:tr>
      <w:tr w14:paraId="0F6FD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146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32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C63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1C47">
            <w:pPr>
              <w:jc w:val="center"/>
            </w:pPr>
            <w:r>
              <w:rPr>
                <w:rFonts w:ascii="宋体" w:hAnsi="宋体" w:eastAsia="宋体"/>
                <w:sz w:val="16"/>
              </w:rPr>
              <w:t>各类宣传后</w:t>
            </w:r>
            <w:r>
              <w:rPr>
                <w:rFonts w:hint="eastAsia" w:ascii="宋体" w:hAnsi="宋体"/>
                <w:sz w:val="16"/>
                <w:lang w:eastAsia="zh-CN"/>
              </w:rPr>
              <w:t>居</w:t>
            </w:r>
            <w:r>
              <w:rPr>
                <w:rFonts w:ascii="宋体" w:hAnsi="宋体" w:eastAsia="宋体"/>
                <w:sz w:val="16"/>
              </w:rPr>
              <w:t>民知晓率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3B7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6D2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449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9A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3F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343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C6B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54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B2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72233">
            <w:pPr>
              <w:jc w:val="center"/>
            </w:pPr>
          </w:p>
        </w:tc>
      </w:tr>
      <w:tr w14:paraId="3B2AC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633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BC2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758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9355">
            <w:pPr>
              <w:jc w:val="center"/>
            </w:pPr>
            <w:r>
              <w:rPr>
                <w:rFonts w:ascii="宋体" w:hAnsi="宋体" w:eastAsia="宋体"/>
                <w:sz w:val="16"/>
              </w:rPr>
              <w:t>基本医疗设备配备时间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3E2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F61FC">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B36ED">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49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74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CC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E5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8CA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D4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66215">
            <w:pPr>
              <w:jc w:val="center"/>
            </w:pPr>
          </w:p>
        </w:tc>
      </w:tr>
      <w:tr w14:paraId="4DD031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95A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7D2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583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367C">
            <w:pPr>
              <w:jc w:val="center"/>
            </w:pPr>
            <w:r>
              <w:rPr>
                <w:rFonts w:ascii="宋体" w:hAnsi="宋体" w:eastAsia="宋体"/>
                <w:sz w:val="16"/>
              </w:rPr>
              <w:t>业务用房进行装修改造时间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73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4809D">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E0B94">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FA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0F2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6A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D7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91C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A0A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8060C">
            <w:pPr>
              <w:jc w:val="center"/>
            </w:pPr>
          </w:p>
        </w:tc>
      </w:tr>
      <w:tr w14:paraId="5FE947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07F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8416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66C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A0EE">
            <w:pPr>
              <w:jc w:val="center"/>
            </w:pPr>
            <w:r>
              <w:rPr>
                <w:rFonts w:ascii="宋体" w:hAnsi="宋体" w:eastAsia="宋体"/>
                <w:sz w:val="16"/>
              </w:rPr>
              <w:t>医疗服务与保障能力提升（医疗卫生机构能力建设）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7B7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04F2">
            <w:pPr>
              <w:jc w:val="center"/>
            </w:pPr>
            <w:r>
              <w:rPr>
                <w:rFonts w:ascii="宋体" w:hAnsi="宋体" w:eastAsia="宋体"/>
                <w:sz w:val="16"/>
              </w:rPr>
              <w:t>&lt;=23万元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CA31">
            <w:pPr>
              <w:jc w:val="center"/>
            </w:pPr>
            <w:r>
              <w:rPr>
                <w:rFonts w:ascii="宋体" w:hAnsi="宋体" w:eastAsia="宋体"/>
                <w:sz w:val="16"/>
              </w:rPr>
              <w: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374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99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87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797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EC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EE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FDAF">
            <w:pPr>
              <w:jc w:val="center"/>
            </w:pPr>
          </w:p>
        </w:tc>
      </w:tr>
      <w:tr w14:paraId="55D4E3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28E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5FF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11D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FDDD">
            <w:pPr>
              <w:jc w:val="center"/>
            </w:pPr>
            <w:r>
              <w:rPr>
                <w:rFonts w:ascii="宋体" w:hAnsi="宋体" w:eastAsia="宋体"/>
                <w:sz w:val="16"/>
              </w:rPr>
              <w:t>医疗服务与保障能力提升（医疗卫生</w:t>
            </w:r>
            <w:r>
              <w:rPr>
                <w:rFonts w:hint="eastAsia" w:ascii="宋体" w:hAnsi="宋体"/>
                <w:sz w:val="16"/>
                <w:lang w:eastAsia="zh-CN"/>
              </w:rPr>
              <w:t>机构</w:t>
            </w:r>
            <w:r>
              <w:rPr>
                <w:rFonts w:ascii="宋体" w:hAnsi="宋体" w:eastAsia="宋体"/>
                <w:sz w:val="16"/>
              </w:rPr>
              <w:t>日常工作经费）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59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FD08C">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7FBF">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02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32A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4BE3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C6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EC3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7C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299E">
            <w:pPr>
              <w:jc w:val="center"/>
            </w:pPr>
          </w:p>
        </w:tc>
      </w:tr>
      <w:tr w14:paraId="19B4E5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8B7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307E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6C7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89ED">
            <w:pPr>
              <w:jc w:val="center"/>
            </w:pPr>
            <w:r>
              <w:rPr>
                <w:rFonts w:ascii="宋体" w:hAnsi="宋体" w:eastAsia="宋体"/>
                <w:sz w:val="16"/>
              </w:rPr>
              <w:t>基本医疗服务能力水平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87C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AF6DC">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E715">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32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46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19D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E82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0C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B5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BF221">
            <w:pPr>
              <w:jc w:val="center"/>
            </w:pPr>
          </w:p>
        </w:tc>
      </w:tr>
      <w:tr w14:paraId="56158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070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883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9AB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38383">
            <w:pPr>
              <w:jc w:val="center"/>
            </w:pPr>
            <w:r>
              <w:rPr>
                <w:rFonts w:ascii="宋体" w:hAnsi="宋体" w:eastAsia="宋体"/>
                <w:sz w:val="16"/>
              </w:rPr>
              <w:t>其他卫生健康人才培养培训业务水平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60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ABF21">
            <w:pPr>
              <w:jc w:val="center"/>
            </w:pPr>
            <w:r>
              <w:rPr>
                <w:rFonts w:ascii="宋体" w:hAnsi="宋体" w:eastAsia="宋体"/>
                <w:sz w:val="16"/>
              </w:rPr>
              <w:t>较上年提高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7C2F3">
            <w:pPr>
              <w:jc w:val="center"/>
            </w:pPr>
            <w:r>
              <w:rPr>
                <w:rFonts w:ascii="宋体" w:hAnsi="宋体" w:eastAsia="宋体"/>
                <w:sz w:val="16"/>
              </w:rPr>
              <w:t>较上年提高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B0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64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33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F92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230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6A0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1AAD">
            <w:pPr>
              <w:jc w:val="center"/>
            </w:pPr>
          </w:p>
        </w:tc>
      </w:tr>
      <w:tr w14:paraId="08D03F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6CC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F88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76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2C3B">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B8A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7BD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D945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19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DC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4B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BE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D041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FE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B722">
            <w:pPr>
              <w:jc w:val="center"/>
            </w:pPr>
          </w:p>
        </w:tc>
      </w:tr>
      <w:tr w14:paraId="0492CEC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C5891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DB4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D18C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EAED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97E3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3FACE">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BAA7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C66C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965A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4048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05D775"/>
        </w:tc>
      </w:tr>
    </w:tbl>
    <w:p w14:paraId="1C331DC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FA9D9F8">
        <w:tblPrEx>
          <w:tblCellMar>
            <w:top w:w="0" w:type="dxa"/>
            <w:left w:w="108" w:type="dxa"/>
            <w:bottom w:w="0" w:type="dxa"/>
            <w:right w:w="108" w:type="dxa"/>
          </w:tblCellMar>
        </w:tblPrEx>
        <w:tc>
          <w:tcPr>
            <w:tcW w:w="8848" w:type="dxa"/>
            <w:gridSpan w:val="14"/>
            <w:vAlign w:val="center"/>
          </w:tcPr>
          <w:p w14:paraId="0EADCB5B">
            <w:pPr>
              <w:jc w:val="center"/>
            </w:pPr>
            <w:r>
              <w:rPr>
                <w:rFonts w:ascii="宋体" w:hAnsi="宋体" w:eastAsia="宋体"/>
                <w:sz w:val="24"/>
              </w:rPr>
              <w:t>项目支出绩效自评表</w:t>
            </w:r>
          </w:p>
        </w:tc>
      </w:tr>
      <w:tr w14:paraId="3ABE740B">
        <w:tblPrEx>
          <w:tblCellMar>
            <w:top w:w="0" w:type="dxa"/>
            <w:left w:w="108" w:type="dxa"/>
            <w:bottom w:w="0" w:type="dxa"/>
            <w:right w:w="108" w:type="dxa"/>
          </w:tblCellMar>
        </w:tblPrEx>
        <w:tc>
          <w:tcPr>
            <w:tcW w:w="8848" w:type="dxa"/>
            <w:gridSpan w:val="14"/>
            <w:vAlign w:val="center"/>
          </w:tcPr>
          <w:p w14:paraId="4029D551">
            <w:pPr>
              <w:jc w:val="center"/>
            </w:pPr>
            <w:r>
              <w:rPr>
                <w:rFonts w:ascii="宋体" w:hAnsi="宋体" w:eastAsia="宋体"/>
                <w:sz w:val="24"/>
              </w:rPr>
              <w:t>(2024年度)</w:t>
            </w:r>
          </w:p>
        </w:tc>
      </w:tr>
      <w:tr w14:paraId="768759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7BE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40119C">
            <w:pPr>
              <w:jc w:val="center"/>
            </w:pPr>
            <w:r>
              <w:rPr>
                <w:rFonts w:ascii="宋体" w:hAnsi="宋体" w:eastAsia="宋体"/>
                <w:sz w:val="16"/>
              </w:rPr>
              <w:t>2024年</w:t>
            </w:r>
            <w:r>
              <w:rPr>
                <w:rFonts w:hint="eastAsia" w:ascii="宋体" w:hAnsi="宋体"/>
                <w:sz w:val="16"/>
                <w:lang w:eastAsia="zh-CN"/>
              </w:rPr>
              <w:t>单位</w:t>
            </w:r>
            <w:r>
              <w:rPr>
                <w:rFonts w:ascii="宋体" w:hAnsi="宋体" w:eastAsia="宋体"/>
                <w:sz w:val="16"/>
              </w:rPr>
              <w:t>资金收入（事业收入）</w:t>
            </w:r>
          </w:p>
        </w:tc>
      </w:tr>
      <w:tr w14:paraId="289CF1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33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EE6BE0">
            <w:pPr>
              <w:jc w:val="center"/>
            </w:pPr>
            <w:r>
              <w:rPr>
                <w:rFonts w:ascii="宋体" w:hAnsi="宋体" w:eastAsia="宋体"/>
                <w:sz w:val="16"/>
              </w:rPr>
              <w:t>特克斯县乔拉克铁热克镇卫生院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3490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41EAA1">
            <w:pPr>
              <w:jc w:val="center"/>
            </w:pPr>
            <w:r>
              <w:rPr>
                <w:rFonts w:ascii="宋体" w:hAnsi="宋体" w:eastAsia="宋体"/>
                <w:sz w:val="16"/>
              </w:rPr>
              <w:t>特克斯县乔拉克铁热克镇卫生院</w:t>
            </w:r>
          </w:p>
        </w:tc>
      </w:tr>
      <w:tr w14:paraId="57BA9B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50FFC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6865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B2F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BE61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7860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DA1A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4D2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3C40">
            <w:pPr>
              <w:jc w:val="center"/>
            </w:pPr>
            <w:r>
              <w:rPr>
                <w:rFonts w:ascii="宋体" w:hAnsi="宋体" w:eastAsia="宋体"/>
                <w:sz w:val="16"/>
              </w:rPr>
              <w:t>得分</w:t>
            </w:r>
          </w:p>
        </w:tc>
      </w:tr>
      <w:tr w14:paraId="41E04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59B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B90C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9A5FB">
            <w:pPr>
              <w:jc w:val="center"/>
            </w:pPr>
            <w:r>
              <w:rPr>
                <w:rFonts w:ascii="宋体" w:hAnsi="宋体" w:eastAsia="宋体"/>
                <w:sz w:val="16"/>
              </w:rPr>
              <w:t>390.00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B4ABF">
            <w:pPr>
              <w:jc w:val="center"/>
            </w:pPr>
            <w:r>
              <w:rPr>
                <w:rFonts w:ascii="宋体" w:hAnsi="宋体" w:eastAsia="宋体"/>
                <w:sz w:val="16"/>
              </w:rPr>
              <w:t>390.00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68EB0">
            <w:pPr>
              <w:jc w:val="center"/>
            </w:pPr>
            <w:r>
              <w:rPr>
                <w:rFonts w:ascii="宋体" w:hAnsi="宋体" w:eastAsia="宋体"/>
                <w:sz w:val="16"/>
              </w:rPr>
              <w:t>390.00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192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B912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0EEA">
            <w:pPr>
              <w:jc w:val="center"/>
            </w:pPr>
            <w:r>
              <w:rPr>
                <w:rFonts w:ascii="宋体" w:hAnsi="宋体" w:eastAsia="宋体"/>
                <w:sz w:val="16"/>
              </w:rPr>
              <w:t>10.00</w:t>
            </w:r>
          </w:p>
        </w:tc>
      </w:tr>
      <w:tr w14:paraId="067AFF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3FD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E53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F16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0BF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9B7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484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D84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3DB5">
            <w:pPr>
              <w:jc w:val="center"/>
            </w:pPr>
            <w:r>
              <w:rPr>
                <w:rFonts w:ascii="宋体" w:hAnsi="宋体" w:eastAsia="宋体"/>
                <w:sz w:val="16"/>
              </w:rPr>
              <w:t>—</w:t>
            </w:r>
          </w:p>
        </w:tc>
      </w:tr>
      <w:tr w14:paraId="17737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466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CFF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7C091">
            <w:pPr>
              <w:jc w:val="center"/>
            </w:pPr>
            <w:r>
              <w:rPr>
                <w:rFonts w:ascii="宋体" w:hAnsi="宋体" w:eastAsia="宋体"/>
                <w:sz w:val="16"/>
              </w:rPr>
              <w:t>390.00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78469">
            <w:pPr>
              <w:jc w:val="center"/>
            </w:pPr>
            <w:r>
              <w:rPr>
                <w:rFonts w:ascii="宋体" w:hAnsi="宋体" w:eastAsia="宋体"/>
                <w:sz w:val="16"/>
              </w:rPr>
              <w:t>390.00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449CE">
            <w:pPr>
              <w:jc w:val="center"/>
            </w:pPr>
            <w:r>
              <w:rPr>
                <w:rFonts w:ascii="宋体" w:hAnsi="宋体" w:eastAsia="宋体"/>
                <w:sz w:val="16"/>
              </w:rPr>
              <w:t>390.00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1EC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836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84535">
            <w:pPr>
              <w:jc w:val="center"/>
            </w:pPr>
            <w:r>
              <w:rPr>
                <w:rFonts w:ascii="宋体" w:hAnsi="宋体" w:eastAsia="宋体"/>
                <w:sz w:val="16"/>
              </w:rPr>
              <w:t>—</w:t>
            </w:r>
          </w:p>
        </w:tc>
      </w:tr>
      <w:tr w14:paraId="5A5301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D48A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09904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AF77FA">
            <w:pPr>
              <w:jc w:val="center"/>
            </w:pPr>
            <w:r>
              <w:rPr>
                <w:rFonts w:ascii="宋体" w:hAnsi="宋体" w:eastAsia="宋体"/>
                <w:sz w:val="16"/>
              </w:rPr>
              <w:t>实际完成情况</w:t>
            </w:r>
          </w:p>
        </w:tc>
      </w:tr>
      <w:tr w14:paraId="13EE2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0784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ED6975">
            <w:pPr>
              <w:jc w:val="both"/>
            </w:pPr>
            <w:r>
              <w:rPr>
                <w:rFonts w:ascii="宋体" w:hAnsi="宋体" w:eastAsia="宋体"/>
                <w:sz w:val="16"/>
              </w:rPr>
              <w:t>为人民健康医疗与预防保健服务，常见病多发病的治疗和护理；预防保健。提供以预防保健、基本医疗、公共卫生、健康教育、JHSY、全民健康体检、康复等为主要内容的综合性服务。保障部门</w:t>
            </w:r>
            <w:r>
              <w:rPr>
                <w:rFonts w:hint="eastAsia" w:ascii="宋体" w:hAnsi="宋体"/>
                <w:sz w:val="16"/>
                <w:lang w:eastAsia="zh-CN"/>
              </w:rPr>
              <w:t>单位</w:t>
            </w:r>
            <w:r>
              <w:rPr>
                <w:rFonts w:ascii="宋体" w:hAnsi="宋体" w:eastAsia="宋体"/>
                <w:sz w:val="16"/>
              </w:rPr>
              <w:t>人员发放工资福利支出 用于开展医疗服务及其他活动中发生的编外人员人员工资、社会保障费、卫生材料费、维修维护费、办公费、水电暖、交通费等费用。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28064A">
            <w:pPr>
              <w:jc w:val="both"/>
            </w:pPr>
            <w:r>
              <w:rPr>
                <w:rFonts w:ascii="宋体" w:hAnsi="宋体" w:eastAsia="宋体"/>
                <w:sz w:val="16"/>
              </w:rPr>
              <w:t>提供以预防保健、基本医疗、公共卫生、健康教育、JHSY、全民健康体检、康复等为主要内容的综合性服务。保障部门</w:t>
            </w:r>
            <w:r>
              <w:rPr>
                <w:rFonts w:hint="eastAsia" w:ascii="宋体" w:hAnsi="宋体"/>
                <w:sz w:val="16"/>
                <w:lang w:eastAsia="zh-CN"/>
              </w:rPr>
              <w:t>单位</w:t>
            </w:r>
            <w:r>
              <w:rPr>
                <w:rFonts w:ascii="宋体" w:hAnsi="宋体" w:eastAsia="宋体"/>
                <w:sz w:val="16"/>
              </w:rPr>
              <w:t>人员发放工资福利支出 用于开展医疗服务及其他活动中发生的编外人员人员工资、社会保障费、卫生材料费、维修维护费、办公费、水电暖、交通费等费用。</w:t>
            </w:r>
          </w:p>
        </w:tc>
      </w:tr>
      <w:tr w14:paraId="6FCCC2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00CF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0AC1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8E1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9C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0C8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75C2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C7C6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471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515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B72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E7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81D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4FD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6A7A">
            <w:pPr>
              <w:jc w:val="center"/>
            </w:pPr>
            <w:r>
              <w:rPr>
                <w:rFonts w:ascii="宋体" w:hAnsi="宋体" w:eastAsia="宋体"/>
                <w:sz w:val="16"/>
              </w:rPr>
              <w:t>偏差原因分析及改进措施</w:t>
            </w:r>
          </w:p>
        </w:tc>
      </w:tr>
      <w:tr w14:paraId="380187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FEEC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A54A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DF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AA33">
            <w:pPr>
              <w:jc w:val="center"/>
            </w:pPr>
            <w:r>
              <w:rPr>
                <w:rFonts w:ascii="宋体" w:hAnsi="宋体" w:eastAsia="宋体"/>
                <w:sz w:val="16"/>
              </w:rPr>
              <w:t>保障编外人员人数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B57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8CA31">
            <w:pPr>
              <w:jc w:val="center"/>
            </w:pPr>
            <w:r>
              <w:rPr>
                <w:rFonts w:ascii="宋体" w:hAnsi="宋体" w:eastAsia="宋体"/>
                <w:sz w:val="16"/>
              </w:rPr>
              <w:t>&gt;=62人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DF11">
            <w:pPr>
              <w:jc w:val="center"/>
            </w:pPr>
            <w:r>
              <w:rPr>
                <w:rFonts w:ascii="宋体" w:hAnsi="宋体" w:eastAsia="宋体"/>
                <w:sz w:val="16"/>
              </w:rPr>
              <w:t>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B67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A1C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8B1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5C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68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21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B8E8">
            <w:pPr>
              <w:jc w:val="center"/>
            </w:pPr>
          </w:p>
        </w:tc>
      </w:tr>
      <w:tr w14:paraId="12026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485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D5F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7717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9249">
            <w:pPr>
              <w:jc w:val="center"/>
            </w:pPr>
            <w:r>
              <w:rPr>
                <w:rFonts w:ascii="宋体" w:hAnsi="宋体" w:eastAsia="宋体"/>
                <w:sz w:val="16"/>
              </w:rPr>
              <w:t>日常工作运转率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AB5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93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051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E9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335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130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B84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58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00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03119">
            <w:pPr>
              <w:jc w:val="center"/>
            </w:pPr>
          </w:p>
        </w:tc>
      </w:tr>
      <w:tr w14:paraId="393086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99F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C27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66F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C905">
            <w:pPr>
              <w:jc w:val="center"/>
            </w:pPr>
            <w:r>
              <w:rPr>
                <w:rFonts w:ascii="宋体" w:hAnsi="宋体" w:eastAsia="宋体"/>
                <w:sz w:val="16"/>
              </w:rPr>
              <w:t>编外人员工资发放及时率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32D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39A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AA6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70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DCE9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DC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F9C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D12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64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2167">
            <w:pPr>
              <w:jc w:val="center"/>
            </w:pPr>
          </w:p>
        </w:tc>
      </w:tr>
      <w:tr w14:paraId="4B2D8B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398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7D84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06D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7145">
            <w:pPr>
              <w:jc w:val="center"/>
            </w:pPr>
            <w:r>
              <w:rPr>
                <w:rFonts w:ascii="宋体" w:hAnsi="宋体" w:eastAsia="宋体"/>
                <w:sz w:val="16"/>
              </w:rPr>
              <w:t>编外人员工资发放支出标准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AA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3F24">
            <w:pPr>
              <w:jc w:val="center"/>
            </w:pPr>
            <w:r>
              <w:rPr>
                <w:rFonts w:ascii="宋体" w:hAnsi="宋体" w:eastAsia="宋体"/>
                <w:sz w:val="16"/>
              </w:rPr>
              <w:t>&lt;=150万元/年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D1A4">
            <w:pPr>
              <w:jc w:val="center"/>
            </w:pPr>
            <w:r>
              <w:rPr>
                <w:rFonts w:ascii="宋体" w:hAnsi="宋体" w:eastAsia="宋体"/>
                <w:sz w:val="16"/>
              </w:rPr>
              <w:t>150万元/年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448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5C4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CE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E46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656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32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FA9C3">
            <w:pPr>
              <w:jc w:val="center"/>
            </w:pPr>
            <w:r>
              <w:rPr>
                <w:rFonts w:ascii="宋体" w:hAnsi="宋体" w:eastAsia="宋体"/>
                <w:sz w:val="16"/>
              </w:rPr>
              <w:t>超额完成支出标准</w:t>
            </w:r>
          </w:p>
        </w:tc>
      </w:tr>
      <w:tr w14:paraId="00EF27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E68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CDD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F69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FAAE">
            <w:pPr>
              <w:jc w:val="center"/>
            </w:pPr>
            <w:r>
              <w:rPr>
                <w:rFonts w:ascii="宋体" w:hAnsi="宋体" w:eastAsia="宋体"/>
                <w:sz w:val="16"/>
              </w:rPr>
              <w:t>日常办公运转经费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D6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7B4D">
            <w:pPr>
              <w:jc w:val="center"/>
            </w:pPr>
            <w:r>
              <w:rPr>
                <w:rFonts w:ascii="宋体" w:hAnsi="宋体" w:eastAsia="宋体"/>
                <w:sz w:val="16"/>
              </w:rPr>
              <w:t>&lt;=240万元/年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8F28">
            <w:pPr>
              <w:jc w:val="center"/>
            </w:pPr>
            <w:r>
              <w:rPr>
                <w:rFonts w:ascii="宋体" w:hAnsi="宋体" w:eastAsia="宋体"/>
                <w:sz w:val="16"/>
              </w:rPr>
              <w:t>240万元/年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C26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E1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B2C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3D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F8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5E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8F85B">
            <w:pPr>
              <w:jc w:val="center"/>
            </w:pPr>
            <w:r>
              <w:rPr>
                <w:rFonts w:ascii="宋体" w:hAnsi="宋体" w:eastAsia="宋体"/>
                <w:sz w:val="16"/>
              </w:rPr>
              <w:t>超额完成支出标准</w:t>
            </w:r>
          </w:p>
        </w:tc>
      </w:tr>
      <w:tr w14:paraId="17523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BF8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6139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3E0A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B1B0">
            <w:pPr>
              <w:jc w:val="center"/>
            </w:pPr>
            <w:r>
              <w:rPr>
                <w:rFonts w:ascii="宋体" w:hAnsi="宋体" w:eastAsia="宋体"/>
                <w:sz w:val="16"/>
              </w:rPr>
              <w:t>提高编外人员工作积极性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42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3DF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7CD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A9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93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F0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52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B6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80A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CB07">
            <w:pPr>
              <w:jc w:val="center"/>
            </w:pPr>
          </w:p>
        </w:tc>
      </w:tr>
      <w:tr w14:paraId="3E972C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9C1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246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71F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3B29">
            <w:pPr>
              <w:jc w:val="center"/>
            </w:pPr>
            <w:r>
              <w:rPr>
                <w:rFonts w:ascii="宋体" w:hAnsi="宋体" w:eastAsia="宋体"/>
                <w:sz w:val="16"/>
              </w:rPr>
              <w:t>提高职工日常工作效率和质量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E04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C785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B58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A3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11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B2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CA4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0A4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2B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2F60">
            <w:pPr>
              <w:jc w:val="center"/>
            </w:pPr>
          </w:p>
        </w:tc>
      </w:tr>
      <w:tr w14:paraId="1BEE64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904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C5E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32F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8186">
            <w:pPr>
              <w:jc w:val="center"/>
            </w:pPr>
            <w:r>
              <w:rPr>
                <w:rFonts w:hint="eastAsia" w:ascii="宋体" w:hAnsi="宋体"/>
                <w:sz w:val="16"/>
                <w:lang w:eastAsia="zh-CN"/>
              </w:rPr>
              <w:t>单位</w:t>
            </w: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7D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5810A">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E11F">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E5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C4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F6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3A6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2D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62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A69C">
            <w:pPr>
              <w:jc w:val="center"/>
            </w:pPr>
          </w:p>
        </w:tc>
      </w:tr>
      <w:tr w14:paraId="49F442E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2B2A8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59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DB9B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DD15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3E82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10CD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DAB3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9078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0ACF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D71D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32FDB0"/>
        </w:tc>
      </w:tr>
    </w:tbl>
    <w:p w14:paraId="7BC0EFAF">
      <w:r>
        <w:br w:type="page"/>
      </w:r>
    </w:p>
    <w:p w14:paraId="504EB2EE">
      <w:pPr>
        <w:spacing w:line="640" w:lineRule="exact"/>
        <w:ind w:firstLine="640"/>
        <w:jc w:val="both"/>
        <w:outlineLvl w:val="2"/>
      </w:pPr>
      <w:r>
        <w:rPr>
          <w:rFonts w:ascii="黑体" w:hAnsi="黑体" w:eastAsia="黑体"/>
          <w:sz w:val="32"/>
        </w:rPr>
        <w:t>十二、其他需说明的事项</w:t>
      </w:r>
    </w:p>
    <w:p w14:paraId="193B40E0">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61EBFFBB">
      <w:r>
        <w:br w:type="page"/>
      </w:r>
    </w:p>
    <w:p w14:paraId="6A649598">
      <w:pPr>
        <w:spacing w:line="240" w:lineRule="auto"/>
        <w:jc w:val="center"/>
        <w:outlineLvl w:val="1"/>
      </w:pPr>
      <w:r>
        <w:rPr>
          <w:rFonts w:ascii="黑体" w:hAnsi="黑体" w:eastAsia="黑体"/>
          <w:sz w:val="32"/>
        </w:rPr>
        <w:t>第三部分 专业名词解释</w:t>
      </w:r>
    </w:p>
    <w:p w14:paraId="5E2DED4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061A3A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6094ECE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66C896B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0A095FA8">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19327E7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4801B23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D855F8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8F3100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AB7115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F3A249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5FAB5208">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1F8F807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069E9D2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04139A2E">
      <w:r>
        <w:br w:type="page"/>
      </w:r>
    </w:p>
    <w:p w14:paraId="665EA29F">
      <w:pPr>
        <w:spacing w:line="240" w:lineRule="auto"/>
        <w:jc w:val="center"/>
        <w:outlineLvl w:val="1"/>
      </w:pPr>
      <w:r>
        <w:rPr>
          <w:rFonts w:ascii="黑体" w:hAnsi="黑体" w:eastAsia="黑体"/>
          <w:sz w:val="32"/>
        </w:rPr>
        <w:t>第四部分 部门决算报表（见附表）</w:t>
      </w:r>
    </w:p>
    <w:p w14:paraId="115E26AE">
      <w:pPr>
        <w:spacing w:line="240" w:lineRule="auto"/>
        <w:ind w:firstLine="640"/>
        <w:jc w:val="both"/>
      </w:pPr>
      <w:r>
        <w:rPr>
          <w:rFonts w:ascii="仿宋_GB2312" w:hAnsi="仿宋_GB2312" w:eastAsia="仿宋_GB2312"/>
          <w:b w:val="0"/>
          <w:sz w:val="32"/>
        </w:rPr>
        <w:t>一、《收入支出决算总表》</w:t>
      </w:r>
    </w:p>
    <w:p w14:paraId="77DD011B">
      <w:pPr>
        <w:spacing w:line="240" w:lineRule="auto"/>
        <w:ind w:firstLine="640"/>
        <w:jc w:val="both"/>
      </w:pPr>
      <w:r>
        <w:rPr>
          <w:rFonts w:ascii="仿宋_GB2312" w:hAnsi="仿宋_GB2312" w:eastAsia="仿宋_GB2312"/>
          <w:b w:val="0"/>
          <w:sz w:val="32"/>
        </w:rPr>
        <w:t>二、《收入决算表》</w:t>
      </w:r>
    </w:p>
    <w:p w14:paraId="3A2DA372">
      <w:pPr>
        <w:spacing w:line="240" w:lineRule="auto"/>
        <w:ind w:firstLine="640"/>
        <w:jc w:val="both"/>
      </w:pPr>
      <w:r>
        <w:rPr>
          <w:rFonts w:ascii="仿宋_GB2312" w:hAnsi="仿宋_GB2312" w:eastAsia="仿宋_GB2312"/>
          <w:b w:val="0"/>
          <w:sz w:val="32"/>
        </w:rPr>
        <w:t>三、《支出决算表》</w:t>
      </w:r>
    </w:p>
    <w:p w14:paraId="72B1B73D">
      <w:pPr>
        <w:spacing w:line="240" w:lineRule="auto"/>
        <w:ind w:firstLine="640"/>
        <w:jc w:val="both"/>
      </w:pPr>
      <w:r>
        <w:rPr>
          <w:rFonts w:ascii="仿宋_GB2312" w:hAnsi="仿宋_GB2312" w:eastAsia="仿宋_GB2312"/>
          <w:b w:val="0"/>
          <w:sz w:val="32"/>
        </w:rPr>
        <w:t>四、《财政拨款收入支出决算总表》</w:t>
      </w:r>
    </w:p>
    <w:p w14:paraId="4CCE2C7C">
      <w:pPr>
        <w:spacing w:line="240" w:lineRule="auto"/>
        <w:ind w:firstLine="640"/>
        <w:jc w:val="both"/>
      </w:pPr>
      <w:r>
        <w:rPr>
          <w:rFonts w:ascii="仿宋_GB2312" w:hAnsi="仿宋_GB2312" w:eastAsia="仿宋_GB2312"/>
          <w:b w:val="0"/>
          <w:sz w:val="32"/>
        </w:rPr>
        <w:t>五、《一般公共预算财政拨款支出决算表》</w:t>
      </w:r>
    </w:p>
    <w:p w14:paraId="2844845F">
      <w:pPr>
        <w:spacing w:line="240" w:lineRule="auto"/>
        <w:ind w:firstLine="640"/>
        <w:jc w:val="both"/>
      </w:pPr>
      <w:r>
        <w:rPr>
          <w:rFonts w:ascii="仿宋_GB2312" w:hAnsi="仿宋_GB2312" w:eastAsia="仿宋_GB2312"/>
          <w:b w:val="0"/>
          <w:sz w:val="32"/>
        </w:rPr>
        <w:t>六、《一般公共预算财政拨款基本支出决算表》</w:t>
      </w:r>
    </w:p>
    <w:p w14:paraId="14871966">
      <w:pPr>
        <w:spacing w:line="240" w:lineRule="auto"/>
        <w:ind w:firstLine="640"/>
        <w:jc w:val="both"/>
      </w:pPr>
      <w:r>
        <w:rPr>
          <w:rFonts w:ascii="仿宋_GB2312" w:hAnsi="仿宋_GB2312" w:eastAsia="仿宋_GB2312"/>
          <w:b w:val="0"/>
          <w:sz w:val="32"/>
        </w:rPr>
        <w:t>七、《政府性基金预算财政拨款收入支出决算表》</w:t>
      </w:r>
    </w:p>
    <w:p w14:paraId="6F85747C">
      <w:pPr>
        <w:spacing w:line="240" w:lineRule="auto"/>
        <w:ind w:firstLine="640"/>
        <w:jc w:val="both"/>
      </w:pPr>
      <w:r>
        <w:rPr>
          <w:rFonts w:ascii="仿宋_GB2312" w:hAnsi="仿宋_GB2312" w:eastAsia="仿宋_GB2312"/>
          <w:b w:val="0"/>
          <w:sz w:val="32"/>
        </w:rPr>
        <w:t>八、《国有资本经营预算财政拨款收入支出决算表》</w:t>
      </w:r>
    </w:p>
    <w:p w14:paraId="6E6DE1D7">
      <w:pPr>
        <w:spacing w:line="240" w:lineRule="auto"/>
        <w:ind w:firstLine="640"/>
        <w:jc w:val="both"/>
      </w:pPr>
      <w:r>
        <w:rPr>
          <w:rFonts w:ascii="仿宋_GB2312" w:hAnsi="仿宋_GB2312" w:eastAsia="仿宋_GB2312"/>
          <w:b w:val="0"/>
          <w:sz w:val="32"/>
        </w:rPr>
        <w:t>九、《财政拨款“三公”经费支出决算表》</w:t>
      </w:r>
    </w:p>
    <w:p w14:paraId="1261E327">
      <w:pPr>
        <w:spacing w:line="240" w:lineRule="auto"/>
        <w:ind w:firstLine="640"/>
        <w:jc w:val="both"/>
      </w:pPr>
    </w:p>
    <w:p w14:paraId="66FCBDEE">
      <w:pPr>
        <w:spacing w:line="240" w:lineRule="auto"/>
        <w:ind w:firstLine="640"/>
        <w:jc w:val="both"/>
      </w:pPr>
    </w:p>
    <w:p w14:paraId="611AA1E1">
      <w:pPr>
        <w:spacing w:line="240" w:lineRule="auto"/>
        <w:ind w:firstLine="640"/>
        <w:jc w:val="both"/>
      </w:pPr>
    </w:p>
    <w:p w14:paraId="06158EB3">
      <w:pPr>
        <w:spacing w:line="240" w:lineRule="auto"/>
        <w:ind w:firstLine="640"/>
        <w:jc w:val="both"/>
      </w:pPr>
    </w:p>
    <w:p w14:paraId="623557F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0FEC4FE9"/>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57E00E9"/>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3B268E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07e4a5-e992-4702-976c-a53b2dc5144c}">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5042</Words>
  <Characters>5755</Characters>
  <Lines>0</Lines>
  <Paragraphs>0</Paragraphs>
  <TotalTime>4</TotalTime>
  <ScaleCrop>false</ScaleCrop>
  <LinksUpToDate>false</LinksUpToDate>
  <CharactersWithSpaces>5763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