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中共特克斯县纪律检查委员会特克斯县监察委员会2024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1B928F5">
      <w:r>
        <w:br w:type="page"/>
      </w:r>
    </w:p>
    <w:p w14:paraId="50303C59">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08BF4296">
      <w:pPr>
        <w:spacing w:line="640" w:lineRule="exact"/>
        <w:ind w:firstLine="640"/>
        <w:jc w:val="both"/>
        <w:outlineLvl w:val="2"/>
      </w:pPr>
      <w:r>
        <w:rPr>
          <w:rFonts w:ascii="黑体" w:hAnsi="黑体" w:eastAsia="黑体"/>
          <w:sz w:val="32"/>
        </w:rPr>
        <w:t>一、主要职能</w:t>
      </w:r>
    </w:p>
    <w:p w14:paraId="08FBA4DE">
      <w:pPr>
        <w:spacing w:line="580" w:lineRule="exact"/>
        <w:ind w:firstLine="640"/>
        <w:jc w:val="both"/>
      </w:pPr>
      <w:r>
        <w:rPr>
          <w:rFonts w:ascii="仿宋_GB2312" w:hAnsi="仿宋_GB2312" w:eastAsia="仿宋_GB2312"/>
          <w:sz w:val="32"/>
        </w:rPr>
        <w:t>（1）负责党的纪律检查工作。贯彻落实上级纪委监委和特克斯县委关于纪律检查工作的决定，维护党的章程和其他党内法规，检查党的路线方针政策和决议的执行情况，协助特克斯县委推进全面从严治党、加强党风廉政建设和组织协调反腐败工作。</w:t>
      </w:r>
    </w:p>
    <w:p w14:paraId="456E8B67">
      <w:pPr>
        <w:spacing w:line="580" w:lineRule="exact"/>
        <w:ind w:firstLine="640"/>
        <w:jc w:val="both"/>
      </w:pPr>
      <w:r>
        <w:rPr>
          <w:rFonts w:ascii="仿宋_GB2312" w:hAnsi="仿宋_GB2312" w:eastAsia="仿宋_GB2312"/>
          <w:sz w:val="32"/>
        </w:rPr>
        <w:t>（2）依照党的章程和其他党内法规履行监督、执纪、问责职责。负责对党员进行遵守纪律的教育，做出关于维护党纪的决定；对特克斯县委工作部门、特克斯县委批准设立的党组（党委），各乡镇场党委、纪委等党的组织和特克斯县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党员的处分；进行问责或者提出责任追究建议；受理党员的控告和申诉；保障党员权利。</w:t>
      </w:r>
    </w:p>
    <w:p w14:paraId="5EE6B138">
      <w:pPr>
        <w:spacing w:line="580" w:lineRule="exact"/>
        <w:ind w:firstLine="640"/>
        <w:jc w:val="both"/>
      </w:pPr>
      <w:r>
        <w:rPr>
          <w:rFonts w:ascii="仿宋_GB2312" w:hAnsi="仿宋_GB2312" w:eastAsia="仿宋_GB2312"/>
          <w:sz w:val="32"/>
        </w:rPr>
        <w:t>（3）在特克斯县委领导下组织开展巡察工作，配合县委巡察领导小组指导巡察工作。</w:t>
      </w:r>
    </w:p>
    <w:p w14:paraId="636AB1B9">
      <w:pPr>
        <w:spacing w:line="580" w:lineRule="exact"/>
        <w:ind w:firstLine="640"/>
        <w:jc w:val="both"/>
      </w:pPr>
      <w:r>
        <w:rPr>
          <w:rFonts w:ascii="仿宋_GB2312" w:hAnsi="仿宋_GB2312" w:eastAsia="仿宋_GB2312"/>
          <w:sz w:val="32"/>
        </w:rPr>
        <w:t>（4）负责全县监察工作。贯彻落实上级党委和监委关于监察工作的决定，维护宪法法律，依法对特克斯县委管理的行使公权力的公职人员进行监察，调查职务违法和职务犯罪，开展廉政建设和反腐败工作。</w:t>
      </w:r>
    </w:p>
    <w:p w14:paraId="777BB6C2">
      <w:pPr>
        <w:spacing w:line="580" w:lineRule="exact"/>
        <w:ind w:firstLine="640"/>
        <w:jc w:val="both"/>
      </w:pPr>
      <w:r>
        <w:rPr>
          <w:rFonts w:ascii="仿宋_GB2312" w:hAnsi="仿宋_GB2312" w:eastAsia="仿宋_GB2312"/>
          <w:sz w:val="32"/>
        </w:rPr>
        <w:t>（5）依照法律规定履行监督、调查、处置职责。对特克斯县委管理的行使公权力的公职人员落实党中央治疆方略、聚焦维护社会稳定和长治久安总目标、维护祖国统一、反对民族分裂等情况进行监督检查；推进开展廉政教育，对公职人员依法履职、秉公用权、廉洁从政从业以及道德操守情况进行监督检查，对涉嫌贪污贿赂、滥用职权、玩忽职守、权力寻租、利益输送、徇私舞弊以及浪费国家资产等职务违法和职务犯罪进行调查；对违法的公职人员依法作出政务处分决定；对履行职责不力、失职失责的领导人员进行问责；对涉嫌职务犯罪的将调查结果移送人民检察院依法审查、提起公诉；向监察对象所在</w:t>
      </w:r>
      <w:r>
        <w:rPr>
          <w:rFonts w:hint="eastAsia" w:ascii="仿宋_GB2312" w:hAnsi="仿宋_GB2312" w:eastAsia="仿宋_GB2312"/>
          <w:sz w:val="32"/>
          <w:lang w:eastAsia="zh-CN"/>
        </w:rPr>
        <w:t>单位</w:t>
      </w:r>
      <w:r>
        <w:rPr>
          <w:rFonts w:ascii="仿宋_GB2312" w:hAnsi="仿宋_GB2312" w:eastAsia="仿宋_GB2312"/>
          <w:sz w:val="32"/>
        </w:rPr>
        <w:t>提出监察建议。</w:t>
      </w:r>
    </w:p>
    <w:p w14:paraId="1A07D262">
      <w:pPr>
        <w:spacing w:line="580" w:lineRule="exact"/>
        <w:ind w:firstLine="640"/>
        <w:jc w:val="both"/>
      </w:pPr>
      <w:r>
        <w:rPr>
          <w:rFonts w:ascii="仿宋_GB2312" w:hAnsi="仿宋_GB2312" w:eastAsia="仿宋_GB2312"/>
          <w:sz w:val="32"/>
        </w:rPr>
        <w:t>（6）负责组织协调特克斯县委全面从严治党、党风廉政建设和反腐败宣传教育工作。</w:t>
      </w:r>
    </w:p>
    <w:p w14:paraId="4F63AB3E">
      <w:pPr>
        <w:spacing w:line="580" w:lineRule="exact"/>
        <w:ind w:firstLine="640"/>
        <w:jc w:val="both"/>
      </w:pPr>
      <w:r>
        <w:rPr>
          <w:rFonts w:ascii="仿宋_GB2312" w:hAnsi="仿宋_GB2312" w:eastAsia="仿宋_GB2312"/>
          <w:sz w:val="32"/>
        </w:rPr>
        <w:t>（7）负责综合分析特克期县委全面从严治党、党风廉政建设和反腐败工作情况，对纪检监察工作重要理论及实践问题进行调查研究。</w:t>
      </w:r>
    </w:p>
    <w:p w14:paraId="63A08C37">
      <w:pPr>
        <w:spacing w:line="580" w:lineRule="exact"/>
        <w:ind w:firstLine="640"/>
        <w:jc w:val="both"/>
      </w:pPr>
      <w:r>
        <w:rPr>
          <w:rFonts w:ascii="仿宋_GB2312" w:hAnsi="仿宋_GB2312" w:eastAsia="仿宋_GB2312"/>
          <w:sz w:val="32"/>
        </w:rPr>
        <w:t>（8）负责配合上级纪委监委做好与其他国家、地区、国际组织的反腐败国际交流、合作，加强对反腐败国际追逃追赃和防逃工作的组织协调，督促有关</w:t>
      </w:r>
      <w:r>
        <w:rPr>
          <w:rFonts w:hint="eastAsia" w:ascii="仿宋_GB2312" w:hAnsi="仿宋_GB2312" w:eastAsia="仿宋_GB2312"/>
          <w:sz w:val="32"/>
          <w:lang w:eastAsia="zh-CN"/>
        </w:rPr>
        <w:t>单位</w:t>
      </w:r>
      <w:r>
        <w:rPr>
          <w:rFonts w:ascii="仿宋_GB2312" w:hAnsi="仿宋_GB2312" w:eastAsia="仿宋_GB2312"/>
          <w:sz w:val="32"/>
        </w:rPr>
        <w:t>做好相关工作。</w:t>
      </w:r>
    </w:p>
    <w:p w14:paraId="1F3422E9">
      <w:pPr>
        <w:spacing w:line="580" w:lineRule="exact"/>
        <w:ind w:firstLine="640"/>
        <w:jc w:val="both"/>
      </w:pPr>
      <w:r>
        <w:rPr>
          <w:rFonts w:ascii="仿宋_GB2312" w:hAnsi="仿宋_GB2312" w:eastAsia="仿宋_GB2312"/>
          <w:sz w:val="32"/>
        </w:rPr>
        <w:t>（9）根据干部管理权限，负责全县纪检监察系统领导班子建设、干部队伍建设和组织建设综合规划、政策研究、制度建设和业务指导；会同有关方面做好特克斯县纪委监委派驻（派出）机构、各乡镇场纪委（监察办公室）领导班子建设有关工作；组织和指导纪检监察干部教育培训工作等。</w:t>
      </w:r>
    </w:p>
    <w:p w14:paraId="0452C345">
      <w:pPr>
        <w:spacing w:line="580" w:lineRule="exact"/>
        <w:ind w:firstLine="640"/>
        <w:jc w:val="both"/>
      </w:pPr>
      <w:r>
        <w:rPr>
          <w:rFonts w:ascii="仿宋_GB2312" w:hAnsi="仿宋_GB2312" w:eastAsia="仿宋_GB2312"/>
          <w:sz w:val="32"/>
        </w:rPr>
        <w:t>（10）完成上级纪委监委和特克斯县委交办的其他事项。</w:t>
      </w:r>
    </w:p>
    <w:p w14:paraId="16FCF813">
      <w:pPr>
        <w:spacing w:line="640" w:lineRule="exact"/>
        <w:ind w:firstLine="640"/>
        <w:jc w:val="both"/>
        <w:outlineLvl w:val="2"/>
      </w:pPr>
      <w:r>
        <w:rPr>
          <w:rFonts w:ascii="黑体" w:hAnsi="黑体" w:eastAsia="黑体"/>
          <w:sz w:val="32"/>
        </w:rPr>
        <w:t>二、机构设置及人员情况</w:t>
      </w:r>
    </w:p>
    <w:p w14:paraId="58DF604E">
      <w:pPr>
        <w:spacing w:line="580" w:lineRule="exact"/>
        <w:ind w:firstLine="640"/>
        <w:jc w:val="both"/>
      </w:pPr>
      <w:r>
        <w:rPr>
          <w:rFonts w:ascii="仿宋_GB2312" w:hAnsi="仿宋_GB2312" w:eastAsia="仿宋_GB2312"/>
          <w:sz w:val="32"/>
        </w:rPr>
        <w:t>中共特克斯县纪律检查委员会特克斯县监察委员会2024年度，实有人数129人，其中：在职人员110人，增加6人；离休人员0人，增加0人；退休人员19人,增加0人。</w:t>
      </w:r>
    </w:p>
    <w:p w14:paraId="462519F6">
      <w:pPr>
        <w:spacing w:line="580" w:lineRule="exact"/>
        <w:ind w:firstLine="640"/>
        <w:jc w:val="both"/>
      </w:pPr>
      <w:r>
        <w:rPr>
          <w:rFonts w:ascii="仿宋_GB2312" w:hAnsi="仿宋_GB2312" w:eastAsia="仿宋_GB2312"/>
          <w:sz w:val="32"/>
        </w:rPr>
        <w:t>中共特克斯县纪律检查委员会特克斯县监察委员会无下属预算</w:t>
      </w:r>
      <w:r>
        <w:rPr>
          <w:rFonts w:hint="eastAsia" w:ascii="仿宋_GB2312" w:hAnsi="仿宋_GB2312" w:eastAsia="仿宋_GB2312"/>
          <w:sz w:val="32"/>
          <w:lang w:eastAsia="zh-CN"/>
        </w:rPr>
        <w:t>单位</w:t>
      </w:r>
      <w:r>
        <w:rPr>
          <w:rFonts w:ascii="仿宋_GB2312" w:hAnsi="仿宋_GB2312" w:eastAsia="仿宋_GB2312"/>
          <w:sz w:val="32"/>
        </w:rPr>
        <w:t>，下设18个科室，分别是：办公室、党风室、信访室、纪检监察1室、组宣部、审理室、案管室、干部监督室、纪检监察1组、特克斯县委巡察办、纪检监察2组、纪检监察3组、纪检监察4组、纪检监察5组、纪检监察6组、纪检监察2室、纪检监察3室、纪检监察4室。</w:t>
      </w:r>
    </w:p>
    <w:p w14:paraId="5B6EC9F0">
      <w:r>
        <w:br w:type="page"/>
      </w:r>
    </w:p>
    <w:p w14:paraId="74DFF162">
      <w:pPr>
        <w:spacing w:line="240" w:lineRule="auto"/>
        <w:jc w:val="center"/>
        <w:outlineLvl w:val="1"/>
      </w:pPr>
      <w:r>
        <w:rPr>
          <w:rFonts w:ascii="黑体" w:hAnsi="黑体" w:eastAsia="黑体"/>
          <w:sz w:val="32"/>
        </w:rPr>
        <w:t>第二部分 部门决算情况说明</w:t>
      </w:r>
    </w:p>
    <w:p w14:paraId="3BCE83A9">
      <w:pPr>
        <w:spacing w:line="640" w:lineRule="exact"/>
        <w:ind w:firstLine="640"/>
        <w:jc w:val="both"/>
        <w:outlineLvl w:val="2"/>
      </w:pPr>
      <w:r>
        <w:rPr>
          <w:rFonts w:ascii="黑体" w:hAnsi="黑体" w:eastAsia="黑体"/>
          <w:sz w:val="32"/>
        </w:rPr>
        <w:t>一、收入支出决算总体情况说明</w:t>
      </w:r>
    </w:p>
    <w:p w14:paraId="6D6DE773">
      <w:pPr>
        <w:spacing w:line="580" w:lineRule="exact"/>
        <w:ind w:firstLine="640"/>
        <w:jc w:val="both"/>
      </w:pPr>
      <w:r>
        <w:rPr>
          <w:rFonts w:ascii="仿宋_GB2312" w:hAnsi="仿宋_GB2312" w:eastAsia="仿宋_GB2312"/>
          <w:b/>
          <w:sz w:val="32"/>
        </w:rPr>
        <w:t>2024年度收入总计1,892.61万元，</w:t>
      </w:r>
      <w:r>
        <w:rPr>
          <w:rFonts w:ascii="仿宋_GB2312" w:hAnsi="仿宋_GB2312" w:eastAsia="仿宋_GB2312"/>
          <w:b w:val="0"/>
          <w:sz w:val="32"/>
        </w:rPr>
        <w:t>其中：本年收入合计1,892.61万元，使用非财政拨款结余（含专用结余）0.00万元，年初结转和结余0.00万元。</w:t>
      </w:r>
    </w:p>
    <w:p w14:paraId="4C972347">
      <w:pPr>
        <w:spacing w:line="580" w:lineRule="exact"/>
        <w:ind w:firstLine="640"/>
        <w:jc w:val="both"/>
      </w:pPr>
      <w:r>
        <w:rPr>
          <w:rFonts w:ascii="仿宋_GB2312" w:hAnsi="仿宋_GB2312" w:eastAsia="仿宋_GB2312"/>
          <w:b/>
          <w:sz w:val="32"/>
        </w:rPr>
        <w:t>2024年度支出总计1,892.61万元，</w:t>
      </w:r>
      <w:r>
        <w:rPr>
          <w:rFonts w:ascii="仿宋_GB2312" w:hAnsi="仿宋_GB2312" w:eastAsia="仿宋_GB2312"/>
          <w:b w:val="0"/>
          <w:sz w:val="32"/>
        </w:rPr>
        <w:t>其中：本年支出合计1,892.61万元，结余分配0.00万元，年末结转和结余0.00万元。</w:t>
      </w:r>
    </w:p>
    <w:p w14:paraId="050EFE04">
      <w:pPr>
        <w:spacing w:line="580" w:lineRule="exact"/>
        <w:ind w:firstLine="640"/>
        <w:jc w:val="both"/>
      </w:pPr>
      <w:r>
        <w:rPr>
          <w:rFonts w:ascii="仿宋_GB2312" w:hAnsi="仿宋_GB2312" w:eastAsia="仿宋_GB2312"/>
          <w:b w:val="0"/>
          <w:sz w:val="32"/>
        </w:rPr>
        <w:t>收入支出总体与上年相比，增加234.95万元，增长14.17%，主要原因是：1.本年在职人员工资调增，在职人员工资调增，社保、公积金基数调增，人员经费增加。2.本年购买3</w:t>
      </w:r>
      <w:r>
        <w:rPr>
          <w:rFonts w:hint="eastAsia" w:ascii="仿宋_GB2312" w:hAnsi="仿宋_GB2312" w:eastAsia="仿宋_GB2312"/>
          <w:b w:val="0"/>
          <w:sz w:val="32"/>
          <w:lang w:eastAsia="zh-CN"/>
        </w:rPr>
        <w:t>台</w:t>
      </w:r>
      <w:r>
        <w:rPr>
          <w:rFonts w:ascii="仿宋_GB2312" w:hAnsi="仿宋_GB2312" w:eastAsia="仿宋_GB2312"/>
          <w:b w:val="0"/>
          <w:sz w:val="32"/>
        </w:rPr>
        <w:t>车辆，公用经费增加。</w:t>
      </w:r>
    </w:p>
    <w:p w14:paraId="328B4317">
      <w:pPr>
        <w:spacing w:line="640" w:lineRule="exact"/>
        <w:ind w:firstLine="640"/>
        <w:jc w:val="both"/>
        <w:outlineLvl w:val="2"/>
      </w:pPr>
      <w:r>
        <w:rPr>
          <w:rFonts w:ascii="黑体" w:hAnsi="黑体" w:eastAsia="黑体"/>
          <w:sz w:val="32"/>
        </w:rPr>
        <w:t>二、收入决算情况说明</w:t>
      </w:r>
    </w:p>
    <w:p w14:paraId="7F981292">
      <w:pPr>
        <w:spacing w:line="580" w:lineRule="exact"/>
        <w:ind w:firstLine="640"/>
        <w:jc w:val="both"/>
      </w:pPr>
      <w:r>
        <w:rPr>
          <w:rFonts w:ascii="仿宋_GB2312" w:hAnsi="仿宋_GB2312" w:eastAsia="仿宋_GB2312"/>
          <w:b/>
          <w:sz w:val="32"/>
        </w:rPr>
        <w:t>本年收入1,892.61万元，</w:t>
      </w:r>
      <w:r>
        <w:rPr>
          <w:rFonts w:ascii="仿宋_GB2312" w:hAnsi="仿宋_GB2312" w:eastAsia="仿宋_GB2312"/>
          <w:b w:val="0"/>
          <w:sz w:val="32"/>
        </w:rPr>
        <w:t>其中：财政拨款收入1,892.61万元，占100.00%；上级补助收入0.00万元，占0.00%；事业收入0.00万元，占0.00%；经营收入0.00万元，占0.00%；附属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7A58C5C0">
      <w:pPr>
        <w:spacing w:line="640" w:lineRule="exact"/>
        <w:ind w:firstLine="640"/>
        <w:jc w:val="both"/>
        <w:outlineLvl w:val="2"/>
      </w:pPr>
      <w:r>
        <w:rPr>
          <w:rFonts w:ascii="黑体" w:hAnsi="黑体" w:eastAsia="黑体"/>
          <w:sz w:val="32"/>
        </w:rPr>
        <w:t>三、支出决算情况说明</w:t>
      </w:r>
    </w:p>
    <w:p w14:paraId="40A4B929">
      <w:pPr>
        <w:spacing w:line="580" w:lineRule="exact"/>
        <w:ind w:firstLine="640"/>
        <w:jc w:val="both"/>
      </w:pPr>
      <w:r>
        <w:rPr>
          <w:rFonts w:ascii="仿宋_GB2312" w:hAnsi="仿宋_GB2312" w:eastAsia="仿宋_GB2312"/>
          <w:b/>
          <w:sz w:val="32"/>
        </w:rPr>
        <w:t>本年支出1,892.61万元，</w:t>
      </w:r>
      <w:r>
        <w:rPr>
          <w:rFonts w:ascii="仿宋_GB2312" w:hAnsi="仿宋_GB2312" w:eastAsia="仿宋_GB2312"/>
          <w:b w:val="0"/>
          <w:sz w:val="32"/>
        </w:rPr>
        <w:t>其中：基本支出1,883.67万元，占99.53%；项目支出8.94万元，占0.47%；上缴上级支出0.00万元，占0.00%；经营支出0.00万元，占0.00%；对附属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F0780C3">
      <w:pPr>
        <w:spacing w:line="640" w:lineRule="exact"/>
        <w:ind w:firstLine="640"/>
        <w:jc w:val="both"/>
        <w:outlineLvl w:val="2"/>
      </w:pPr>
      <w:r>
        <w:rPr>
          <w:rFonts w:ascii="黑体" w:hAnsi="黑体" w:eastAsia="黑体"/>
          <w:sz w:val="32"/>
        </w:rPr>
        <w:t>四、财政拨款收入支出决算总体情况说明</w:t>
      </w:r>
    </w:p>
    <w:p w14:paraId="4A2621F8">
      <w:pPr>
        <w:spacing w:line="580" w:lineRule="exact"/>
        <w:ind w:firstLine="640"/>
        <w:jc w:val="both"/>
      </w:pPr>
      <w:r>
        <w:rPr>
          <w:rFonts w:ascii="仿宋_GB2312" w:hAnsi="仿宋_GB2312" w:eastAsia="仿宋_GB2312"/>
          <w:b/>
          <w:sz w:val="32"/>
        </w:rPr>
        <w:t>2024年度财政拨款收入总计1,892.61万元，</w:t>
      </w:r>
      <w:r>
        <w:rPr>
          <w:rFonts w:ascii="仿宋_GB2312" w:hAnsi="仿宋_GB2312" w:eastAsia="仿宋_GB2312"/>
          <w:b w:val="0"/>
          <w:sz w:val="32"/>
        </w:rPr>
        <w:t>其中：年初财政拨款结转和结余0.00万元，本年财政拨款收入1,892.61万元。</w:t>
      </w:r>
      <w:r>
        <w:rPr>
          <w:rFonts w:ascii="仿宋_GB2312" w:hAnsi="仿宋_GB2312" w:eastAsia="仿宋_GB2312"/>
          <w:b/>
          <w:sz w:val="32"/>
        </w:rPr>
        <w:t>财政拨款支出总计1,892.61万元，</w:t>
      </w:r>
      <w:r>
        <w:rPr>
          <w:rFonts w:ascii="仿宋_GB2312" w:hAnsi="仿宋_GB2312" w:eastAsia="仿宋_GB2312"/>
          <w:b w:val="0"/>
          <w:sz w:val="32"/>
        </w:rPr>
        <w:t>其中：年末财政拨款结转和结余0.00万元，本年财政拨款支出1,892.61万元。</w:t>
      </w:r>
    </w:p>
    <w:p w14:paraId="7D6A945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增加234.95万元，增长14.17%，主要原因是：1.本年在职人员工资调增，在职人员工资调增，社保、公积金基数调增，人员经费增加。2.本年购买3辆公务用车，增加公用经费。</w:t>
      </w:r>
      <w:r>
        <w:rPr>
          <w:rFonts w:ascii="仿宋_GB2312" w:hAnsi="仿宋_GB2312" w:eastAsia="仿宋_GB2312"/>
          <w:b/>
          <w:sz w:val="32"/>
        </w:rPr>
        <w:t>与年初预算相比，</w:t>
      </w:r>
      <w:r>
        <w:rPr>
          <w:rFonts w:ascii="仿宋_GB2312" w:hAnsi="仿宋_GB2312" w:eastAsia="仿宋_GB2312"/>
          <w:b w:val="0"/>
          <w:sz w:val="32"/>
        </w:rPr>
        <w:t>年初预算数1,803.53万元，决算数1,892.61万元，预决算差异率4.94%，主要原因是：1.年中追加购买车辆</w:t>
      </w:r>
      <w:r>
        <w:rPr>
          <w:rFonts w:hint="eastAsia" w:ascii="仿宋_GB2312" w:hAnsi="仿宋_GB2312" w:eastAsia="仿宋_GB2312"/>
          <w:b w:val="0"/>
          <w:sz w:val="32"/>
          <w:lang w:val="en-US" w:eastAsia="zh-CN"/>
        </w:rPr>
        <w:t>经费</w:t>
      </w:r>
      <w:r>
        <w:rPr>
          <w:rFonts w:ascii="仿宋_GB2312" w:hAnsi="仿宋_GB2312" w:eastAsia="仿宋_GB2312"/>
          <w:b w:val="0"/>
          <w:sz w:val="32"/>
        </w:rPr>
        <w:t>，导致预决算存在差异。2.本年在职人员增加，年中追加人员经费及人员工资、社保、公积金基数调增部分资金，导致预决算存在差异。</w:t>
      </w:r>
    </w:p>
    <w:p w14:paraId="2CA6E519">
      <w:pPr>
        <w:spacing w:line="640" w:lineRule="exact"/>
        <w:ind w:firstLine="640"/>
        <w:jc w:val="both"/>
        <w:outlineLvl w:val="2"/>
      </w:pPr>
      <w:r>
        <w:rPr>
          <w:rFonts w:ascii="黑体" w:hAnsi="黑体" w:eastAsia="黑体"/>
          <w:sz w:val="32"/>
        </w:rPr>
        <w:t>五、一般公共预算财政拨款支出决算情况说明</w:t>
      </w:r>
    </w:p>
    <w:p w14:paraId="3A966F15">
      <w:pPr>
        <w:spacing w:line="640" w:lineRule="exact"/>
        <w:ind w:firstLine="640"/>
        <w:jc w:val="both"/>
        <w:outlineLvl w:val="3"/>
      </w:pPr>
      <w:r>
        <w:rPr>
          <w:rFonts w:ascii="楷体_GB2312" w:hAnsi="楷体_GB2312" w:eastAsia="楷体_GB2312"/>
          <w:b/>
          <w:sz w:val="32"/>
        </w:rPr>
        <w:t>（一）一般公共预算财政拨款支出决算总体情况</w:t>
      </w:r>
    </w:p>
    <w:p w14:paraId="54D3C3A6">
      <w:pPr>
        <w:spacing w:line="580" w:lineRule="exact"/>
        <w:ind w:firstLine="640"/>
        <w:jc w:val="both"/>
      </w:pPr>
      <w:r>
        <w:rPr>
          <w:rFonts w:ascii="仿宋_GB2312" w:hAnsi="仿宋_GB2312" w:eastAsia="仿宋_GB2312"/>
          <w:b/>
          <w:sz w:val="32"/>
        </w:rPr>
        <w:t>2024年度一般公共预算财政拨款支出1,892.61万元，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增加234.95万元，增长14.17%，主要原因是：1.本年在职人员工资调增，在职人员工资调增，社保、公积金基数调增，人员经费增加。2.本年购买3辆公务用车，增加公用经费。</w:t>
      </w:r>
      <w:r>
        <w:rPr>
          <w:rFonts w:ascii="仿宋_GB2312" w:hAnsi="仿宋_GB2312" w:eastAsia="仿宋_GB2312"/>
          <w:b/>
          <w:sz w:val="32"/>
        </w:rPr>
        <w:t>与年初预算相比,</w:t>
      </w:r>
      <w:r>
        <w:rPr>
          <w:rFonts w:ascii="仿宋_GB2312" w:hAnsi="仿宋_GB2312" w:eastAsia="仿宋_GB2312"/>
          <w:b w:val="0"/>
          <w:sz w:val="32"/>
        </w:rPr>
        <w:t>年初预算数1,803.53万元，决算数1,892.61万元，预决算差异率4.94%，主要原因是：1.年中追加购买车辆</w:t>
      </w:r>
      <w:r>
        <w:rPr>
          <w:rFonts w:hint="eastAsia" w:ascii="仿宋_GB2312" w:hAnsi="仿宋_GB2312" w:eastAsia="仿宋_GB2312"/>
          <w:b w:val="0"/>
          <w:sz w:val="32"/>
          <w:lang w:val="en-US" w:eastAsia="zh-CN"/>
        </w:rPr>
        <w:t>经费</w:t>
      </w:r>
      <w:r>
        <w:rPr>
          <w:rFonts w:ascii="仿宋_GB2312" w:hAnsi="仿宋_GB2312" w:eastAsia="仿宋_GB2312"/>
          <w:b w:val="0"/>
          <w:sz w:val="32"/>
        </w:rPr>
        <w:t>，导致预决算存在差异。2.本年在职人员增加，年中追加人员经费及人员工资、社保、公积金基数调增部分资金，导致预决算存在差异。</w:t>
      </w:r>
    </w:p>
    <w:p w14:paraId="1A8AE8A5">
      <w:pPr>
        <w:spacing w:line="640" w:lineRule="exact"/>
        <w:ind w:firstLine="640"/>
        <w:jc w:val="both"/>
        <w:outlineLvl w:val="3"/>
      </w:pPr>
      <w:r>
        <w:rPr>
          <w:rFonts w:ascii="楷体_GB2312" w:hAnsi="楷体_GB2312" w:eastAsia="楷体_GB2312"/>
          <w:b/>
          <w:sz w:val="32"/>
        </w:rPr>
        <w:t>（二）一般公共预算财政拨款支出决算结构情况</w:t>
      </w:r>
    </w:p>
    <w:p w14:paraId="51B0D545">
      <w:pPr>
        <w:spacing w:line="580" w:lineRule="exact"/>
        <w:ind w:firstLine="640"/>
        <w:jc w:val="both"/>
      </w:pPr>
      <w:r>
        <w:rPr>
          <w:rFonts w:ascii="仿宋_GB2312" w:hAnsi="仿宋_GB2312" w:eastAsia="仿宋_GB2312"/>
          <w:b w:val="0"/>
          <w:sz w:val="32"/>
        </w:rPr>
        <w:t>1.一般公共服务支出(类)1,479.42万元,占78.17%。</w:t>
      </w:r>
    </w:p>
    <w:p w14:paraId="4938ED1C">
      <w:pPr>
        <w:spacing w:line="580" w:lineRule="exact"/>
        <w:ind w:firstLine="640"/>
        <w:jc w:val="both"/>
      </w:pPr>
      <w:r>
        <w:rPr>
          <w:rFonts w:ascii="仿宋_GB2312" w:hAnsi="仿宋_GB2312" w:eastAsia="仿宋_GB2312"/>
          <w:b w:val="0"/>
          <w:sz w:val="32"/>
        </w:rPr>
        <w:t>2.社会保障和就业支出(类)202.23万元,占10.69%。</w:t>
      </w:r>
    </w:p>
    <w:p w14:paraId="04CF2F2B">
      <w:pPr>
        <w:spacing w:line="580" w:lineRule="exact"/>
        <w:ind w:firstLine="640"/>
        <w:jc w:val="both"/>
      </w:pPr>
      <w:r>
        <w:rPr>
          <w:rFonts w:ascii="仿宋_GB2312" w:hAnsi="仿宋_GB2312" w:eastAsia="仿宋_GB2312"/>
          <w:b w:val="0"/>
          <w:sz w:val="32"/>
        </w:rPr>
        <w:t>3.卫生健康支出(类)74.74万元,占3.95%。</w:t>
      </w:r>
    </w:p>
    <w:p w14:paraId="37A4BB7E">
      <w:pPr>
        <w:spacing w:line="580" w:lineRule="exact"/>
        <w:ind w:firstLine="640"/>
        <w:jc w:val="both"/>
      </w:pPr>
      <w:r>
        <w:rPr>
          <w:rFonts w:ascii="仿宋_GB2312" w:hAnsi="仿宋_GB2312" w:eastAsia="仿宋_GB2312"/>
          <w:b w:val="0"/>
          <w:sz w:val="32"/>
        </w:rPr>
        <w:t>4.住房保障支出(类)136.22万元,占7.20%。</w:t>
      </w:r>
    </w:p>
    <w:p w14:paraId="481F2E1F">
      <w:pPr>
        <w:spacing w:line="640" w:lineRule="exact"/>
        <w:ind w:firstLine="640"/>
        <w:jc w:val="both"/>
        <w:outlineLvl w:val="3"/>
      </w:pPr>
      <w:r>
        <w:rPr>
          <w:rFonts w:ascii="楷体_GB2312" w:hAnsi="楷体_GB2312" w:eastAsia="楷体_GB2312"/>
          <w:b/>
          <w:sz w:val="32"/>
        </w:rPr>
        <w:t>（三）一般公共预算财政拨款支出决算具体情况</w:t>
      </w:r>
    </w:p>
    <w:p w14:paraId="42FA1DBD">
      <w:pPr>
        <w:spacing w:line="580" w:lineRule="exact"/>
        <w:ind w:firstLine="640"/>
        <w:jc w:val="both"/>
      </w:pPr>
      <w:r>
        <w:rPr>
          <w:rFonts w:ascii="仿宋_GB2312" w:hAnsi="仿宋_GB2312" w:eastAsia="仿宋_GB2312"/>
          <w:b w:val="0"/>
          <w:sz w:val="32"/>
        </w:rPr>
        <w:t>1.一般公共服务支出(类)纪检监察事务(款)行政运行(项):支出决算数为1,470.48万元，比上年决算增加174.93万元，增长13.50%,主要原因是：本年新增在职人员，在职人员工资调增，导致相关人员经费较上年有所增加。</w:t>
      </w:r>
    </w:p>
    <w:p w14:paraId="561E7929">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2.一般公共服务支出(类)纪检监察事务(款)其他纪检监察事务支出(项):支出决算数为8.94万元，比上年决算减少10.75万元，下降54.60%,主要原因是：本年自治区拨付的专项业务经费减少。</w:t>
      </w:r>
    </w:p>
    <w:p w14:paraId="1C0BCD30">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基本养老保险缴费支出(项):支出决算数为179.69万元，比上年决算增加31.71万元，增长21.43%,主要原因是：本年在职人员增加，在职人员工资基数调增，养老缴费基数上涨，相应支出增加。</w:t>
      </w:r>
    </w:p>
    <w:p w14:paraId="10A86BC4">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职业年金缴费支出(项):支出决算数为0.00万元，比上年决算减少7.83万元，下降100.00%,主要原因是：本年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新增退休人员，职业年金缴费较上年减少。</w:t>
      </w:r>
    </w:p>
    <w:p w14:paraId="7EC88D46">
      <w:pPr>
        <w:spacing w:line="580" w:lineRule="exact"/>
        <w:ind w:firstLine="640"/>
        <w:jc w:val="both"/>
      </w:pPr>
      <w:r>
        <w:rPr>
          <w:rFonts w:ascii="仿宋_GB2312" w:hAnsi="仿宋_GB2312" w:eastAsia="仿宋_GB2312"/>
          <w:b w:val="0"/>
          <w:sz w:val="32"/>
        </w:rPr>
        <w:t>5.社会保障和就业支出(类)抚恤(款)死亡抚恤(项):支出决算数为22.54万元，比上年决算增加22.54万元，增长100.00%,主要原因是：本年新增死亡人员，死亡抚恤支出增加。</w:t>
      </w:r>
    </w:p>
    <w:p w14:paraId="2309B63D">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医疗(项):支出决算数为71.51万元，比上年决算增加4.41万元，增长6.57%,主要原因是：本年在职人员增加，在职人员工资基数调增，医疗缴费基数上涨，相应支出增加。</w:t>
      </w:r>
    </w:p>
    <w:p w14:paraId="7F44C7D3">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医疗(款)公务员医疗补助(项):支出决算数为1.93万元，比上年决算增加0.06万元，增长3.21%,主要原因是：本年在职人员增加，本年在职人员工资基数调增，医疗缴费基数上涨，相应支出增加。</w:t>
      </w:r>
    </w:p>
    <w:p w14:paraId="2F95ED10">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医疗支出(项):支出决算数为1.30万元，比上年决算减少0.17万元，下降11.56%,主要原因是：本年在职人员调入调出，人员职级不同，缴费基数不同，导致</w:t>
      </w:r>
      <w:r>
        <w:rPr>
          <w:rFonts w:hint="eastAsia" w:ascii="仿宋_GB2312" w:hAnsi="仿宋_GB2312" w:eastAsia="仿宋_GB2312"/>
          <w:b w:val="0"/>
          <w:sz w:val="32"/>
          <w:lang w:val="en-US" w:eastAsia="zh-CN"/>
        </w:rPr>
        <w:t>大病</w:t>
      </w:r>
      <w:r>
        <w:rPr>
          <w:rFonts w:ascii="仿宋_GB2312" w:hAnsi="仿宋_GB2312" w:eastAsia="仿宋_GB2312"/>
          <w:b w:val="0"/>
          <w:sz w:val="32"/>
        </w:rPr>
        <w:t>医疗</w:t>
      </w:r>
      <w:r>
        <w:rPr>
          <w:rFonts w:hint="eastAsia" w:ascii="仿宋_GB2312" w:hAnsi="仿宋_GB2312" w:eastAsia="仿宋_GB2312"/>
          <w:b w:val="0"/>
          <w:sz w:val="32"/>
          <w:lang w:val="en-US" w:eastAsia="zh-CN"/>
        </w:rPr>
        <w:t>经费</w:t>
      </w:r>
      <w:r>
        <w:rPr>
          <w:rFonts w:ascii="仿宋_GB2312" w:hAnsi="仿宋_GB2312" w:eastAsia="仿宋_GB2312"/>
          <w:b w:val="0"/>
          <w:sz w:val="32"/>
        </w:rPr>
        <w:t>较上年减少。</w:t>
      </w:r>
    </w:p>
    <w:p w14:paraId="149AA4D7">
      <w:pPr>
        <w:spacing w:line="580" w:lineRule="exact"/>
        <w:ind w:firstLine="640"/>
        <w:jc w:val="both"/>
      </w:pPr>
      <w:r>
        <w:rPr>
          <w:rFonts w:ascii="仿宋_GB2312" w:hAnsi="仿宋_GB2312" w:eastAsia="仿宋_GB2312"/>
          <w:b w:val="0"/>
          <w:sz w:val="32"/>
        </w:rPr>
        <w:t>9.住房保障支出(类)住房改革支出(款)住房公积金(项):支出决算数为136.22万元，比上年决算增加20.05万元，增长17.26%,主要原因是：本年在职人员增加，在职人员工资基数调增，公积金缴费基数上涨，相应支出增加。</w:t>
      </w:r>
    </w:p>
    <w:p w14:paraId="0A8A158C">
      <w:pPr>
        <w:spacing w:line="640" w:lineRule="exact"/>
        <w:ind w:firstLine="640"/>
        <w:jc w:val="both"/>
        <w:outlineLvl w:val="2"/>
      </w:pPr>
      <w:r>
        <w:rPr>
          <w:rFonts w:ascii="黑体" w:hAnsi="黑体" w:eastAsia="黑体"/>
          <w:sz w:val="32"/>
        </w:rPr>
        <w:t>六、一般公共预算财政拨款基本支出决算情况说明</w:t>
      </w:r>
    </w:p>
    <w:p w14:paraId="5040A984">
      <w:pPr>
        <w:spacing w:line="580" w:lineRule="exact"/>
        <w:ind w:firstLine="640"/>
        <w:jc w:val="both"/>
      </w:pPr>
      <w:r>
        <w:rPr>
          <w:rFonts w:ascii="仿宋_GB2312" w:hAnsi="仿宋_GB2312" w:eastAsia="仿宋_GB2312"/>
          <w:b w:val="0"/>
          <w:sz w:val="32"/>
        </w:rPr>
        <w:t>2024年度一般公共预算财政拨款基本支出1,883.67万元，其中：</w:t>
      </w:r>
      <w:r>
        <w:rPr>
          <w:rFonts w:ascii="仿宋_GB2312" w:hAnsi="仿宋_GB2312" w:eastAsia="仿宋_GB2312"/>
          <w:b/>
          <w:sz w:val="32"/>
        </w:rPr>
        <w:t>人员经费1,710.95万元，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基本养老保险缴费、职工基本医疗保险缴费、公务员医疗补助缴费、其他社会保障缴费、住房公积金、退休费、抚恤金、生活补助。</w:t>
      </w:r>
    </w:p>
    <w:p w14:paraId="5EA62EB8">
      <w:pPr>
        <w:spacing w:line="580" w:lineRule="exact"/>
        <w:ind w:firstLine="640"/>
        <w:jc w:val="both"/>
      </w:pPr>
      <w:r>
        <w:rPr>
          <w:rFonts w:ascii="仿宋_GB2312" w:hAnsi="仿宋_GB2312" w:eastAsia="仿宋_GB2312"/>
          <w:b/>
          <w:sz w:val="32"/>
        </w:rPr>
        <w:t>公用经费172.72万元，</w:t>
      </w:r>
      <w:r>
        <w:rPr>
          <w:rFonts w:ascii="仿宋_GB2312" w:hAnsi="仿宋_GB2312" w:eastAsia="仿宋_GB2312"/>
          <w:b w:val="0"/>
          <w:sz w:val="32"/>
        </w:rPr>
        <w:t>包括：办公费、水费、电费、邮电费、取暖费、差旅费、工会经费、公务用车运行维护费、其他交通费用、公务用车购置。</w:t>
      </w:r>
    </w:p>
    <w:p w14:paraId="6A94560B">
      <w:pPr>
        <w:spacing w:line="640" w:lineRule="exact"/>
        <w:ind w:firstLine="640"/>
        <w:jc w:val="both"/>
        <w:outlineLvl w:val="2"/>
      </w:pPr>
      <w:r>
        <w:rPr>
          <w:rFonts w:ascii="黑体" w:hAnsi="黑体" w:eastAsia="黑体"/>
          <w:sz w:val="32"/>
        </w:rPr>
        <w:t>七、政府性基金预算财政拨款收入支出决算情况说明</w:t>
      </w:r>
    </w:p>
    <w:p w14:paraId="0483E60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30CD0DB">
      <w:pPr>
        <w:spacing w:line="640" w:lineRule="exact"/>
        <w:ind w:firstLine="640"/>
        <w:jc w:val="both"/>
        <w:outlineLvl w:val="2"/>
      </w:pPr>
      <w:r>
        <w:rPr>
          <w:rFonts w:ascii="黑体" w:hAnsi="黑体" w:eastAsia="黑体"/>
          <w:sz w:val="32"/>
        </w:rPr>
        <w:t>八、国有资本经营预算财政拨款收入支出决算情况说明</w:t>
      </w:r>
    </w:p>
    <w:p w14:paraId="1E488AE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3658D67">
      <w:pPr>
        <w:spacing w:line="640" w:lineRule="exact"/>
        <w:ind w:firstLine="640"/>
        <w:jc w:val="both"/>
        <w:outlineLvl w:val="2"/>
      </w:pPr>
      <w:r>
        <w:rPr>
          <w:rFonts w:ascii="黑体" w:hAnsi="黑体" w:eastAsia="黑体"/>
          <w:sz w:val="32"/>
        </w:rPr>
        <w:t>九、财政拨款“三公”经费支出决算情况说明</w:t>
      </w:r>
    </w:p>
    <w:p w14:paraId="368E0DAB">
      <w:pPr>
        <w:spacing w:line="580" w:lineRule="exact"/>
        <w:ind w:firstLine="640"/>
        <w:jc w:val="both"/>
      </w:pPr>
      <w:r>
        <w:rPr>
          <w:rFonts w:ascii="仿宋_GB2312" w:hAnsi="仿宋_GB2312" w:eastAsia="仿宋_GB2312"/>
          <w:b/>
          <w:sz w:val="32"/>
        </w:rPr>
        <w:t>2024年度财政拨款“三公”经费支出41.93万元，</w:t>
      </w:r>
      <w:r>
        <w:rPr>
          <w:rFonts w:ascii="仿宋_GB2312" w:hAnsi="仿宋_GB2312" w:eastAsia="仿宋_GB2312"/>
          <w:b w:val="0"/>
          <w:sz w:val="32"/>
        </w:rPr>
        <w:t>比上年增加20.94万元，增长99.76%，主要原因是：本年新购入公务用车，公务用车购置费较上年增加。其中：因公出国（境）费支出0.00万元，占0.00%，比上年增加0.00万元，增长0.00%，主要原因是：2023年与2024年均未安排因公出国（境）费支出。公务用车购置及运行维护费支出41.93万元，占100.00%，比上年增加20.94万元，增长99.76%，主要原因是：本年新购入公务用车，公务用车购置费较上年增加。公务接待费支出0.00万元，占0.00%，比上年增加0.00万元，增长0.00%，主要原因是：2023年与2024年均未安排公务接待费支出。</w:t>
      </w:r>
    </w:p>
    <w:p w14:paraId="6719A5AD">
      <w:pPr>
        <w:spacing w:line="580" w:lineRule="exact"/>
        <w:ind w:firstLine="640"/>
        <w:jc w:val="both"/>
      </w:pPr>
      <w:r>
        <w:rPr>
          <w:rFonts w:ascii="仿宋_GB2312" w:hAnsi="仿宋_GB2312" w:eastAsia="仿宋_GB2312"/>
          <w:b/>
          <w:sz w:val="32"/>
        </w:rPr>
        <w:t>具体情况如下：</w:t>
      </w:r>
    </w:p>
    <w:p w14:paraId="654E07D8">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DBA47C7">
      <w:pPr>
        <w:spacing w:line="580" w:lineRule="exact"/>
        <w:ind w:firstLine="640"/>
        <w:jc w:val="both"/>
      </w:pPr>
      <w:r>
        <w:rPr>
          <w:rFonts w:ascii="仿宋_GB2312" w:hAnsi="仿宋_GB2312" w:eastAsia="仿宋_GB2312"/>
          <w:b w:val="0"/>
          <w:sz w:val="32"/>
        </w:rPr>
        <w:t>公务用车购置及运行维护费41.93万元，其中：公务用车购置费37.13万元，公务用车运行维护费4.80万元。公务用车运行维护费开支内容包括车辆加油费、维修费、保险费。公务用车购置数8辆，公务用车保有量3辆。国有资产占用情况中固定资产车辆8辆，与公务用车保有量差异原因是：差异车辆为一般业务用车，车辆费用未使用财政拨款公务用车运行维护费支付，由其他交通费用保障。</w:t>
      </w:r>
    </w:p>
    <w:p w14:paraId="0398807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92200D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41.93万元，决算数41.93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37.13万元，决算数37.13万元，预决算差异率0.00%，主要原因是：严格按照预算执行，预决算无差异。公务用车运行维护费全年预算数4.80万元，决算数4.80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6DDBC98">
      <w:pPr>
        <w:spacing w:line="640" w:lineRule="exact"/>
        <w:ind w:firstLine="640"/>
        <w:jc w:val="both"/>
        <w:outlineLvl w:val="2"/>
      </w:pPr>
      <w:r>
        <w:rPr>
          <w:rFonts w:ascii="黑体" w:hAnsi="黑体" w:eastAsia="黑体"/>
          <w:sz w:val="32"/>
        </w:rPr>
        <w:t>十、其他重要事项的情况说明</w:t>
      </w:r>
    </w:p>
    <w:p w14:paraId="48987A5D">
      <w:pPr>
        <w:spacing w:line="640" w:lineRule="exact"/>
        <w:ind w:firstLine="640"/>
        <w:jc w:val="both"/>
        <w:outlineLvl w:val="3"/>
      </w:pPr>
      <w:r>
        <w:rPr>
          <w:rFonts w:ascii="楷体_GB2312" w:hAnsi="楷体_GB2312" w:eastAsia="楷体_GB2312"/>
          <w:b/>
          <w:sz w:val="32"/>
        </w:rPr>
        <w:t>（一）机关运行经费及公用经费支出情况</w:t>
      </w:r>
    </w:p>
    <w:p w14:paraId="0B20F9FA">
      <w:pPr>
        <w:spacing w:line="580" w:lineRule="exact"/>
        <w:ind w:firstLine="640"/>
        <w:jc w:val="both"/>
      </w:pPr>
      <w:r>
        <w:rPr>
          <w:rFonts w:ascii="仿宋_GB2312" w:hAnsi="仿宋_GB2312" w:eastAsia="仿宋_GB2312"/>
          <w:b w:val="0"/>
          <w:sz w:val="32"/>
        </w:rPr>
        <w:t>2024年度中共特克斯县纪律检查委员会特克斯县监察委员会（行政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）机关运行经费支出172.72万元，比上年增加43.69万元，增长33.86%，主要原因是：1.本年增加差旅费。2.新增加3辆车，公务用车购置</w:t>
      </w:r>
      <w:r>
        <w:rPr>
          <w:rFonts w:hint="eastAsia" w:ascii="仿宋_GB2312" w:hAnsi="仿宋_GB2312" w:eastAsia="仿宋_GB2312"/>
          <w:b w:val="0"/>
          <w:sz w:val="32"/>
          <w:lang w:val="en-US" w:eastAsia="zh-CN"/>
        </w:rPr>
        <w:t>经费</w:t>
      </w:r>
      <w:r>
        <w:rPr>
          <w:rFonts w:ascii="仿宋_GB2312" w:hAnsi="仿宋_GB2312" w:eastAsia="仿宋_GB2312"/>
          <w:b w:val="0"/>
          <w:sz w:val="32"/>
        </w:rPr>
        <w:t>增加。</w:t>
      </w:r>
    </w:p>
    <w:p w14:paraId="502251FF">
      <w:pPr>
        <w:spacing w:line="640" w:lineRule="exact"/>
        <w:ind w:firstLine="640"/>
        <w:jc w:val="both"/>
        <w:outlineLvl w:val="3"/>
      </w:pPr>
      <w:r>
        <w:rPr>
          <w:rFonts w:ascii="楷体_GB2312" w:hAnsi="楷体_GB2312" w:eastAsia="楷体_GB2312"/>
          <w:b/>
          <w:sz w:val="32"/>
        </w:rPr>
        <w:t>（二）政府采购情况</w:t>
      </w:r>
    </w:p>
    <w:p w14:paraId="7D4AEF9F">
      <w:pPr>
        <w:spacing w:line="580" w:lineRule="exact"/>
        <w:ind w:firstLine="640"/>
        <w:jc w:val="both"/>
      </w:pPr>
      <w:r>
        <w:rPr>
          <w:rFonts w:ascii="仿宋_GB2312" w:hAnsi="仿宋_GB2312" w:eastAsia="仿宋_GB2312"/>
          <w:b w:val="0"/>
          <w:sz w:val="32"/>
        </w:rPr>
        <w:t>2024年度政府采购支出总额7.30万元，其中：政府采购货物支出5.20万元、政府采购工程支出0.00万元、政府采购服务支出2.10万元。</w:t>
      </w:r>
    </w:p>
    <w:p w14:paraId="57D48DB6">
      <w:pPr>
        <w:spacing w:line="580" w:lineRule="exact"/>
        <w:ind w:firstLine="640"/>
        <w:jc w:val="both"/>
      </w:pPr>
      <w:r>
        <w:rPr>
          <w:rFonts w:ascii="仿宋_GB2312" w:hAnsi="仿宋_GB2312" w:eastAsia="仿宋_GB2312"/>
          <w:b w:val="0"/>
          <w:sz w:val="32"/>
        </w:rPr>
        <w:t>授予中小企业合同金额1.21万元，占政府采购支出总额的16.58%，其中：授予小微企业合同金额1.21万元，占政府采购支出总额的16.58%。</w:t>
      </w:r>
    </w:p>
    <w:p w14:paraId="0B91F693">
      <w:pPr>
        <w:spacing w:line="640" w:lineRule="exact"/>
        <w:ind w:firstLine="640"/>
        <w:jc w:val="both"/>
        <w:outlineLvl w:val="3"/>
      </w:pPr>
      <w:r>
        <w:rPr>
          <w:rFonts w:ascii="楷体_GB2312" w:hAnsi="楷体_GB2312" w:eastAsia="楷体_GB2312"/>
          <w:b/>
          <w:sz w:val="32"/>
        </w:rPr>
        <w:t>（三）国有资产占用情况说明</w:t>
      </w:r>
    </w:p>
    <w:p w14:paraId="08F994F8">
      <w:pPr>
        <w:spacing w:line="580" w:lineRule="exact"/>
        <w:ind w:firstLine="640"/>
        <w:jc w:val="both"/>
      </w:pPr>
      <w:r>
        <w:rPr>
          <w:rFonts w:ascii="仿宋_GB2312" w:hAnsi="仿宋_GB2312" w:eastAsia="仿宋_GB2312"/>
          <w:b w:val="0"/>
          <w:sz w:val="32"/>
        </w:rPr>
        <w:t>截至2024年12月31日，房屋0.00平方米，价值0.00万元。车辆8辆，价值136.64万元，其中：副部（省）级及以上领导用车0辆、主要负责人用车0辆、机要通信用车0辆、应急保障用车0辆、执法执勤用车8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1F0BB434">
      <w:pPr>
        <w:spacing w:line="640" w:lineRule="exact"/>
        <w:ind w:firstLine="640"/>
        <w:jc w:val="both"/>
        <w:outlineLvl w:val="2"/>
      </w:pPr>
      <w:r>
        <w:rPr>
          <w:rFonts w:ascii="黑体" w:hAnsi="黑体" w:eastAsia="黑体"/>
          <w:sz w:val="32"/>
        </w:rPr>
        <w:t>十一、预算绩效的情况说明</w:t>
      </w:r>
    </w:p>
    <w:p w14:paraId="4811BACF">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2024年度预算绩效管理形成整体支出绩效自评表1个，全年预算总额1,892.61万元，实际执行总额1,892.61万元；预算绩效评价项目1个，全年预算数38.62万元，全年执行数37.13万元。预算绩效管理取得的成效：一是本</w:t>
      </w:r>
      <w:r>
        <w:rPr>
          <w:rFonts w:hint="eastAsia" w:ascii="仿宋_GB2312" w:hAnsi="仿宋_GB2312" w:eastAsia="仿宋_GB2312"/>
          <w:b w:val="0"/>
          <w:sz w:val="32"/>
          <w:lang w:eastAsia="zh-CN"/>
        </w:rPr>
        <w:t>单位</w:t>
      </w:r>
      <w:r>
        <w:rPr>
          <w:rFonts w:ascii="仿宋_GB2312" w:hAnsi="仿宋_GB2312" w:eastAsia="仿宋_GB2312"/>
          <w:b w:val="0"/>
          <w:sz w:val="32"/>
        </w:rPr>
        <w:t>以绩效目标实现为导向，加强制度建设，提升预算执行质量，预算绩效管理取得一定成效。预算绩效管理取得的成效，科学制定目标，促进绩效目标顺利实现。二是自落实预算绩效管理工作以来，本</w:t>
      </w:r>
      <w:r>
        <w:rPr>
          <w:rFonts w:hint="eastAsia" w:ascii="仿宋_GB2312" w:hAnsi="仿宋_GB2312" w:eastAsia="仿宋_GB2312"/>
          <w:b w:val="0"/>
          <w:sz w:val="32"/>
          <w:lang w:eastAsia="zh-CN"/>
        </w:rPr>
        <w:t>单位</w:t>
      </w:r>
      <w:r>
        <w:rPr>
          <w:rFonts w:ascii="仿宋_GB2312" w:hAnsi="仿宋_GB2312" w:eastAsia="仿宋_GB2312"/>
          <w:b w:val="0"/>
          <w:sz w:val="32"/>
        </w:rPr>
        <w:t>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，提升了部门管理水平和资金使用效益，为全面实施绩效管理打下了坚实的基础。发现的问题及原因：绩效管理专业人员匮乏，规范管理有盲点。预算绩效管理工作的覆盖面广、专业性强，不论预算</w:t>
      </w:r>
      <w:r>
        <w:rPr>
          <w:rFonts w:hint="eastAsia" w:ascii="仿宋_GB2312" w:hAnsi="仿宋_GB2312" w:eastAsia="仿宋_GB2312"/>
          <w:b w:val="0"/>
          <w:sz w:val="32"/>
          <w:lang w:eastAsia="zh-CN"/>
        </w:rPr>
        <w:t>单位</w:t>
      </w:r>
      <w:r>
        <w:rPr>
          <w:rFonts w:ascii="仿宋_GB2312" w:hAnsi="仿宋_GB2312" w:eastAsia="仿宋_GB2312"/>
          <w:b w:val="0"/>
          <w:sz w:val="32"/>
        </w:rPr>
        <w:t>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69B5388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76467BB">
        <w:tblPrEx>
          <w:tblCellMar>
            <w:top w:w="0" w:type="dxa"/>
            <w:left w:w="108" w:type="dxa"/>
            <w:bottom w:w="0" w:type="dxa"/>
            <w:right w:w="108" w:type="dxa"/>
          </w:tblCellMar>
        </w:tblPrEx>
        <w:tc>
          <w:tcPr>
            <w:tcW w:w="8840" w:type="dxa"/>
            <w:gridSpan w:val="8"/>
            <w:vAlign w:val="center"/>
          </w:tcPr>
          <w:p w14:paraId="30BEDD83">
            <w:pPr>
              <w:jc w:val="center"/>
            </w:pPr>
            <w:r>
              <w:rPr>
                <w:rFonts w:hint="eastAsia" w:ascii="宋体" w:hAnsi="宋体"/>
                <w:sz w:val="24"/>
                <w:lang w:eastAsia="zh-CN"/>
              </w:rPr>
              <w:t>单位</w:t>
            </w:r>
            <w:r>
              <w:rPr>
                <w:rFonts w:ascii="宋体" w:hAnsi="宋体" w:eastAsia="宋体"/>
                <w:sz w:val="24"/>
              </w:rPr>
              <w:t>整体支出绩效自评表</w:t>
            </w:r>
          </w:p>
        </w:tc>
      </w:tr>
      <w:tr w14:paraId="7D75E20F">
        <w:tblPrEx>
          <w:tblCellMar>
            <w:top w:w="0" w:type="dxa"/>
            <w:left w:w="108" w:type="dxa"/>
            <w:bottom w:w="0" w:type="dxa"/>
            <w:right w:w="108" w:type="dxa"/>
          </w:tblCellMar>
        </w:tblPrEx>
        <w:tc>
          <w:tcPr>
            <w:tcW w:w="8840" w:type="dxa"/>
            <w:gridSpan w:val="8"/>
            <w:vAlign w:val="center"/>
          </w:tcPr>
          <w:p w14:paraId="20AC86B6">
            <w:pPr>
              <w:jc w:val="center"/>
            </w:pPr>
            <w:r>
              <w:rPr>
                <w:rFonts w:ascii="宋体" w:hAnsi="宋体" w:eastAsia="宋体"/>
                <w:sz w:val="24"/>
              </w:rPr>
              <w:t>（2024年度）</w:t>
            </w:r>
          </w:p>
        </w:tc>
      </w:tr>
      <w:tr w14:paraId="7653961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7EDEE0">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6F590">
            <w:pPr>
              <w:jc w:val="center"/>
            </w:pPr>
            <w:r>
              <w:rPr>
                <w:rFonts w:ascii="宋体" w:hAnsi="宋体" w:eastAsia="宋体"/>
                <w:sz w:val="16"/>
              </w:rPr>
              <w:t>中共特克斯县纪律检查委员会特克斯县监察委员会</w:t>
            </w:r>
          </w:p>
        </w:tc>
      </w:tr>
      <w:tr w14:paraId="7EEA712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47A5A">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79D16">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CB2DF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9A8CA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492C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C171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245C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A3BDEF">
            <w:pPr>
              <w:jc w:val="center"/>
            </w:pPr>
            <w:r>
              <w:rPr>
                <w:rFonts w:ascii="宋体" w:hAnsi="宋体" w:eastAsia="宋体"/>
                <w:sz w:val="16"/>
              </w:rPr>
              <w:t>得分</w:t>
            </w:r>
          </w:p>
        </w:tc>
      </w:tr>
      <w:tr w14:paraId="367A0C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AB9BC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F195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F8ED3">
            <w:pPr>
              <w:jc w:val="center"/>
            </w:pPr>
            <w:r>
              <w:rPr>
                <w:rFonts w:ascii="宋体" w:hAnsi="宋体" w:eastAsia="宋体"/>
                <w:sz w:val="16"/>
              </w:rPr>
              <w:t>1,781.52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3463C0">
            <w:pPr>
              <w:jc w:val="center"/>
            </w:pPr>
            <w:r>
              <w:rPr>
                <w:rFonts w:ascii="宋体" w:hAnsi="宋体" w:eastAsia="宋体"/>
                <w:sz w:val="16"/>
              </w:rPr>
              <w:t>1,892.61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F662B">
            <w:pPr>
              <w:jc w:val="center"/>
            </w:pPr>
            <w:r>
              <w:rPr>
                <w:rFonts w:ascii="宋体" w:hAnsi="宋体" w:eastAsia="宋体"/>
                <w:sz w:val="16"/>
              </w:rPr>
              <w:t>1,892.61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F11DF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1ED2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D4342">
            <w:pPr>
              <w:jc w:val="center"/>
            </w:pPr>
            <w:r>
              <w:rPr>
                <w:rFonts w:ascii="宋体" w:hAnsi="宋体" w:eastAsia="宋体"/>
                <w:sz w:val="16"/>
              </w:rPr>
              <w:t>10</w:t>
            </w:r>
          </w:p>
        </w:tc>
      </w:tr>
      <w:tr w14:paraId="506BA2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5DCF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5D870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053F4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74DEF">
            <w:pPr>
              <w:jc w:val="center"/>
            </w:pPr>
            <w:r>
              <w:rPr>
                <w:rFonts w:ascii="宋体" w:hAnsi="宋体" w:eastAsia="宋体"/>
                <w:sz w:val="16"/>
              </w:rPr>
              <w:t>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92A05">
            <w:pPr>
              <w:jc w:val="center"/>
            </w:pPr>
            <w:r>
              <w:rPr>
                <w:rFonts w:ascii="宋体" w:hAnsi="宋体" w:eastAsia="宋体"/>
                <w:sz w:val="16"/>
              </w:rPr>
              <w:t>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7BF9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F7C0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39ECE">
            <w:pPr>
              <w:jc w:val="center"/>
            </w:pPr>
            <w:r>
              <w:rPr>
                <w:rFonts w:ascii="宋体" w:hAnsi="宋体" w:eastAsia="宋体"/>
                <w:sz w:val="16"/>
              </w:rPr>
              <w:t>-</w:t>
            </w:r>
          </w:p>
        </w:tc>
      </w:tr>
      <w:tr w14:paraId="6A0E0D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B820A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9B4F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2649A">
            <w:pPr>
              <w:jc w:val="center"/>
            </w:pPr>
            <w:r>
              <w:rPr>
                <w:rFonts w:ascii="宋体" w:hAnsi="宋体" w:eastAsia="宋体"/>
                <w:sz w:val="16"/>
              </w:rPr>
              <w:t>1,781.52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EE876">
            <w:pPr>
              <w:jc w:val="center"/>
            </w:pPr>
            <w:r>
              <w:rPr>
                <w:rFonts w:ascii="宋体" w:hAnsi="宋体" w:eastAsia="宋体"/>
                <w:sz w:val="16"/>
              </w:rPr>
              <w:t>1,883.67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99010">
            <w:pPr>
              <w:jc w:val="center"/>
            </w:pPr>
            <w:r>
              <w:rPr>
                <w:rFonts w:ascii="宋体" w:hAnsi="宋体" w:eastAsia="宋体"/>
                <w:sz w:val="16"/>
              </w:rPr>
              <w:t>1,883.67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946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AF3C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A8BEB">
            <w:pPr>
              <w:jc w:val="center"/>
            </w:pPr>
            <w:r>
              <w:rPr>
                <w:rFonts w:ascii="宋体" w:hAnsi="宋体" w:eastAsia="宋体"/>
                <w:sz w:val="16"/>
              </w:rPr>
              <w:t>-</w:t>
            </w:r>
          </w:p>
        </w:tc>
      </w:tr>
      <w:tr w14:paraId="15DA0B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F8178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D3F8D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214B1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E8AA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78F8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F76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80FD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146D2">
            <w:pPr>
              <w:jc w:val="center"/>
            </w:pPr>
            <w:r>
              <w:rPr>
                <w:rFonts w:ascii="宋体" w:hAnsi="宋体" w:eastAsia="宋体"/>
                <w:sz w:val="16"/>
              </w:rPr>
              <w:t>-</w:t>
            </w:r>
          </w:p>
        </w:tc>
      </w:tr>
      <w:tr w14:paraId="3BF4023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D79D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EE0A8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094EE6">
            <w:pPr>
              <w:jc w:val="center"/>
            </w:pPr>
            <w:r>
              <w:rPr>
                <w:rFonts w:ascii="宋体" w:hAnsi="宋体" w:eastAsia="宋体"/>
                <w:sz w:val="16"/>
              </w:rPr>
              <w:t>实际完成情况</w:t>
            </w:r>
          </w:p>
        </w:tc>
      </w:tr>
      <w:tr w14:paraId="317C94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8B6BA6"/>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1D870B">
            <w:pPr>
              <w:jc w:val="both"/>
            </w:pPr>
            <w:r>
              <w:rPr>
                <w:rFonts w:ascii="宋体" w:hAnsi="宋体" w:eastAsia="宋体"/>
                <w:sz w:val="16"/>
              </w:rPr>
              <w:t>贯彻落实中共特克斯县第十三届纪律检查委员会第四次全体会议上的报告。一是负责党的纪律检查工作，依照党的章程和其他党内法规履行监督、执纪、问责职责。负责全县监察工作。依照法律规定履行监督、调查、处置职责。推进开展廉政教育，对公职人员依法履职、秉公用权、</w:t>
            </w:r>
            <w:r>
              <w:rPr>
                <w:rFonts w:hint="eastAsia" w:ascii="宋体" w:hAnsi="宋体"/>
                <w:sz w:val="16"/>
                <w:lang w:eastAsia="zh-CN"/>
              </w:rPr>
              <w:t>廉洁从政</w:t>
            </w:r>
            <w:r>
              <w:rPr>
                <w:rFonts w:ascii="宋体" w:hAnsi="宋体" w:eastAsia="宋体"/>
                <w:sz w:val="16"/>
              </w:rPr>
              <w:t>从业以及道德操守情况进行监督检查，对涉嫌贪污贿赂、滥用职权、玩忽职守、权力寻租、利益输送、徇私舞弊以及浪费国家</w:t>
            </w:r>
            <w:r>
              <w:rPr>
                <w:rFonts w:hint="eastAsia" w:ascii="宋体" w:hAnsi="宋体"/>
                <w:sz w:val="16"/>
                <w:lang w:eastAsia="zh-CN"/>
              </w:rPr>
              <w:t>资产</w:t>
            </w:r>
            <w:r>
              <w:rPr>
                <w:rFonts w:ascii="宋体" w:hAnsi="宋体" w:eastAsia="宋体"/>
                <w:sz w:val="16"/>
              </w:rPr>
              <w:t>等职务违法和职务犯罪进行调查；对违法的公职人员依法作出政务处分决定。二是在特克斯县委领导下组织开展巡察工作。突出政治巡察定位，明确十三届县委</w:t>
            </w:r>
            <w:r>
              <w:rPr>
                <w:rFonts w:hint="eastAsia" w:ascii="宋体" w:hAnsi="宋体"/>
                <w:sz w:val="16"/>
                <w:lang w:eastAsia="zh-CN"/>
              </w:rPr>
              <w:t>巡察</w:t>
            </w:r>
            <w:r>
              <w:rPr>
                <w:rFonts w:ascii="宋体" w:hAnsi="宋体" w:eastAsia="宋体"/>
                <w:sz w:val="16"/>
              </w:rPr>
              <w:t>任务，贯彻上下联动要求，配合州党委</w:t>
            </w:r>
            <w:r>
              <w:rPr>
                <w:rFonts w:hint="eastAsia" w:ascii="宋体" w:hAnsi="宋体"/>
                <w:sz w:val="16"/>
                <w:lang w:eastAsia="zh-CN"/>
              </w:rPr>
              <w:t>巡察</w:t>
            </w:r>
            <w:r>
              <w:rPr>
                <w:rFonts w:ascii="宋体" w:hAnsi="宋体" w:eastAsia="宋体"/>
                <w:sz w:val="16"/>
              </w:rPr>
              <w:t>组巡察工作，形成巡察反馈问题专项督导。三是负责组织协调县委全面从严治党、党风廉政建设和反腐败宣传教育工作。负责综合分析特克斯县委全面从严治党、党风廉政建设和反腐败工作情况，对纪检监察工作重要理论及实践问题进行调查研究。四是根据干部管理权限，负责全县纪检监察系统领导班子建设、干部队伍建设和组织建设综合规划、政策研究、制度建设和业务指导。五是深入开展党风廉政教育月，督促党员干部带头注重家庭家教家风建设，营造崇廉拒腐的良好风尚。</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BC104D">
            <w:pPr>
              <w:jc w:val="both"/>
            </w:pPr>
            <w:r>
              <w:rPr>
                <w:rFonts w:ascii="宋体" w:hAnsi="宋体" w:eastAsia="宋体"/>
                <w:sz w:val="16"/>
              </w:rPr>
              <w:t>2024年，在习近平新时代中国特色社会主义思想引领下，县委以坚定拥护“两个确立”、坚决做到“两个维护”的强烈政治担当，坚决扛起管党治党政治责任，始终坚持严的基调、严的措施、严的氛围，持续巩固发展风清气正的良好政治生态，以全面从严治党引领改革发展稳定各项事业开创新局面。在州纪委监委和县委正确领导下，全县纪检监察机关带头发扬自我革命精神，忠实履行党章和宪法赋予的职责，在强化政治监督、做到“两个维护”中践行对党忠诚，在正风肃纪反腐、铲除腐败滋生土壤条件中彰显担当作为，在深入整治群众身边不正之风和腐败问题中厚植为民情怀，在推动</w:t>
            </w:r>
            <w:r>
              <w:rPr>
                <w:rFonts w:hint="eastAsia" w:ascii="宋体" w:hAnsi="宋体"/>
                <w:sz w:val="16"/>
                <w:lang w:eastAsia="zh-CN"/>
              </w:rPr>
              <w:t>构建全面从严治党体系</w:t>
            </w:r>
            <w:r>
              <w:rPr>
                <w:rFonts w:ascii="宋体" w:hAnsi="宋体" w:eastAsia="宋体"/>
                <w:sz w:val="16"/>
              </w:rPr>
              <w:t>、完善党和国家监督体系中发挥重要作用，纪检监察工作高质量发展取得新成效，为推进中国式现代化特克斯实践实现新突破提供了有力保障。一是负责党的纪律检查工作，依照党的章程和其他党内法规履行监督、执纪、问责职责。负责全县监察工作。依照法律规定履行监督、调查、处置职责。推进开展廉政教育，对公职人员依法履职、秉公用权、</w:t>
            </w:r>
            <w:r>
              <w:rPr>
                <w:rFonts w:hint="eastAsia" w:ascii="宋体" w:hAnsi="宋体"/>
                <w:sz w:val="16"/>
                <w:lang w:eastAsia="zh-CN"/>
              </w:rPr>
              <w:t>廉洁从政</w:t>
            </w:r>
            <w:r>
              <w:rPr>
                <w:rFonts w:ascii="宋体" w:hAnsi="宋体" w:eastAsia="宋体"/>
                <w:sz w:val="16"/>
              </w:rPr>
              <w:t>从业以及道德操守情况进行监督检查，对涉嫌贪污贿赂、滥用职权、玩忽职守、权力寻租、利益输送、徇私舞弊以及浪费国家</w:t>
            </w:r>
            <w:r>
              <w:rPr>
                <w:rFonts w:hint="eastAsia" w:ascii="宋体" w:hAnsi="宋体"/>
                <w:sz w:val="16"/>
                <w:lang w:eastAsia="zh-CN"/>
              </w:rPr>
              <w:t>资产</w:t>
            </w:r>
            <w:r>
              <w:rPr>
                <w:rFonts w:ascii="宋体" w:hAnsi="宋体" w:eastAsia="宋体"/>
                <w:sz w:val="16"/>
              </w:rPr>
              <w:t>等职务违法和职务犯罪进行调查；对违法的公职人员依法作出政务处分决定。二是在特克斯县委领导下组织开展巡察工作。突出政治巡察定位，明确十三届县委</w:t>
            </w:r>
            <w:r>
              <w:rPr>
                <w:rFonts w:hint="eastAsia" w:ascii="宋体" w:hAnsi="宋体"/>
                <w:sz w:val="16"/>
                <w:lang w:eastAsia="zh-CN"/>
              </w:rPr>
              <w:t>巡察</w:t>
            </w:r>
            <w:r>
              <w:rPr>
                <w:rFonts w:ascii="宋体" w:hAnsi="宋体" w:eastAsia="宋体"/>
                <w:sz w:val="16"/>
              </w:rPr>
              <w:t>任务，贯彻上下联动要求，配合州党委</w:t>
            </w:r>
            <w:r>
              <w:rPr>
                <w:rFonts w:hint="eastAsia" w:ascii="宋体" w:hAnsi="宋体"/>
                <w:sz w:val="16"/>
                <w:lang w:eastAsia="zh-CN"/>
              </w:rPr>
              <w:t>巡察</w:t>
            </w:r>
            <w:r>
              <w:rPr>
                <w:rFonts w:ascii="宋体" w:hAnsi="宋体" w:eastAsia="宋体"/>
                <w:sz w:val="16"/>
              </w:rPr>
              <w:t>组巡察工作，形成巡察反馈问题专项督导。三是负责组织协调县委全面从严治党、党风廉政建设和反腐败宣传教育工作。负责综合分析特克斯县委全面从严治党、党风廉政建设和反腐败工作情况，对纪检监察工作重要理论及实践问题进行调查研究。四是根据干部管理权限，负责全县纪检监察系统领导班子建设、干部队伍建设和组织建设综合规划、政策研究、制度建设和业务指导。五是深入开展党风廉政教育月，督促党员干部带头注重家庭家教家风建设，营造崇廉拒腐的良好风尚。</w:t>
            </w:r>
          </w:p>
        </w:tc>
      </w:tr>
      <w:tr w14:paraId="3F7F4A3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5688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192A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3AFE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568E1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1965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BFA5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0BAA4">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B6BA0">
            <w:pPr>
              <w:jc w:val="center"/>
            </w:pPr>
            <w:r>
              <w:rPr>
                <w:rFonts w:ascii="宋体" w:hAnsi="宋体" w:eastAsia="宋体"/>
                <w:sz w:val="16"/>
              </w:rPr>
              <w:t>得分</w:t>
            </w:r>
          </w:p>
        </w:tc>
      </w:tr>
      <w:tr w14:paraId="65FCF76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FB6A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D5EB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DEA9E">
            <w:pPr>
              <w:jc w:val="center"/>
            </w:pPr>
            <w:r>
              <w:rPr>
                <w:rFonts w:ascii="宋体" w:hAnsi="宋体" w:eastAsia="宋体"/>
                <w:sz w:val="16"/>
              </w:rPr>
              <w:t>办案数量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52A93">
            <w:pPr>
              <w:jc w:val="center"/>
            </w:pPr>
            <w:r>
              <w:rPr>
                <w:rFonts w:ascii="宋体" w:hAnsi="宋体" w:eastAsia="宋体"/>
                <w:sz w:val="16"/>
              </w:rPr>
              <w:t>&gt;=150件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EB91B">
            <w:pPr>
              <w:jc w:val="center"/>
            </w:pPr>
            <w:r>
              <w:rPr>
                <w:rFonts w:ascii="宋体" w:hAnsi="宋体" w:eastAsia="宋体"/>
                <w:sz w:val="16"/>
              </w:rPr>
              <w:t>在中国共产党特克斯县第十三届纪律检查委员会第四次全体会议上的报告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2F50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51CFB">
            <w:pPr>
              <w:jc w:val="center"/>
            </w:pPr>
            <w:r>
              <w:rPr>
                <w:rFonts w:ascii="宋体" w:hAnsi="宋体" w:eastAsia="宋体"/>
                <w:sz w:val="16"/>
              </w:rPr>
              <w:t>150件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EC324B">
            <w:pPr>
              <w:jc w:val="center"/>
            </w:pPr>
            <w:r>
              <w:rPr>
                <w:rFonts w:ascii="宋体" w:hAnsi="宋体" w:eastAsia="宋体"/>
                <w:sz w:val="16"/>
              </w:rPr>
              <w:t>20</w:t>
            </w:r>
          </w:p>
        </w:tc>
      </w:tr>
      <w:tr w14:paraId="1DF66E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5A9EA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0CF24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E60E0">
            <w:pPr>
              <w:jc w:val="center"/>
            </w:pPr>
            <w:r>
              <w:rPr>
                <w:rFonts w:ascii="宋体" w:hAnsi="宋体" w:eastAsia="宋体"/>
                <w:sz w:val="16"/>
              </w:rPr>
              <w:t>开展巡查次数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6B9D61">
            <w:pPr>
              <w:jc w:val="center"/>
            </w:pPr>
            <w:r>
              <w:rPr>
                <w:rFonts w:ascii="宋体" w:hAnsi="宋体" w:eastAsia="宋体"/>
                <w:sz w:val="16"/>
              </w:rPr>
              <w:t>&gt;=3轮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C1DF9">
            <w:pPr>
              <w:jc w:val="center"/>
            </w:pPr>
            <w:r>
              <w:rPr>
                <w:rFonts w:ascii="宋体" w:hAnsi="宋体" w:eastAsia="宋体"/>
                <w:sz w:val="16"/>
              </w:rPr>
              <w:t>在中国共产党特克斯县第十三届纪律检查委员会第四次全体会议上的报告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5F33D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7D867">
            <w:pPr>
              <w:jc w:val="center"/>
            </w:pPr>
            <w:r>
              <w:rPr>
                <w:rFonts w:ascii="宋体" w:hAnsi="宋体" w:eastAsia="宋体"/>
                <w:sz w:val="16"/>
              </w:rPr>
              <w:t>3轮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ADA7CE">
            <w:pPr>
              <w:jc w:val="center"/>
            </w:pPr>
            <w:r>
              <w:rPr>
                <w:rFonts w:ascii="宋体" w:hAnsi="宋体" w:eastAsia="宋体"/>
                <w:sz w:val="16"/>
              </w:rPr>
              <w:t>20</w:t>
            </w:r>
          </w:p>
        </w:tc>
      </w:tr>
      <w:tr w14:paraId="20D81E8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F2D95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E1F66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9C8222">
            <w:pPr>
              <w:jc w:val="center"/>
            </w:pPr>
            <w:r>
              <w:rPr>
                <w:rFonts w:ascii="宋体" w:hAnsi="宋体" w:eastAsia="宋体"/>
                <w:sz w:val="16"/>
              </w:rPr>
              <w:t>开展纠“四风”督导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43AC7">
            <w:pPr>
              <w:jc w:val="center"/>
            </w:pPr>
            <w:r>
              <w:rPr>
                <w:rFonts w:ascii="宋体" w:hAnsi="宋体" w:eastAsia="宋体"/>
                <w:sz w:val="16"/>
              </w:rPr>
              <w:t>&gt;=60次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F05B5">
            <w:pPr>
              <w:jc w:val="center"/>
            </w:pPr>
            <w:r>
              <w:rPr>
                <w:rFonts w:ascii="宋体" w:hAnsi="宋体" w:eastAsia="宋体"/>
                <w:sz w:val="16"/>
              </w:rPr>
              <w:t>在中国共产党特克斯县第十三届纪律检查委员会第四次全体会议上的报告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E3EF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A6EBC">
            <w:pPr>
              <w:jc w:val="center"/>
            </w:pPr>
            <w:r>
              <w:rPr>
                <w:rFonts w:ascii="宋体" w:hAnsi="宋体" w:eastAsia="宋体"/>
                <w:sz w:val="16"/>
              </w:rPr>
              <w:t>60次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423BBB">
            <w:pPr>
              <w:jc w:val="center"/>
            </w:pPr>
            <w:r>
              <w:rPr>
                <w:rFonts w:ascii="宋体" w:hAnsi="宋体" w:eastAsia="宋体"/>
                <w:sz w:val="16"/>
              </w:rPr>
              <w:t>20</w:t>
            </w:r>
          </w:p>
        </w:tc>
      </w:tr>
      <w:tr w14:paraId="1054E5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3BE29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F395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D8427D">
            <w:pPr>
              <w:jc w:val="center"/>
            </w:pPr>
            <w:r>
              <w:rPr>
                <w:rFonts w:ascii="宋体" w:hAnsi="宋体" w:eastAsia="宋体"/>
                <w:sz w:val="16"/>
              </w:rPr>
              <w:t>开展第26个党风廉政教育月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2275A">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DDB2B">
            <w:pPr>
              <w:jc w:val="center"/>
            </w:pPr>
            <w:r>
              <w:rPr>
                <w:rFonts w:ascii="宋体" w:hAnsi="宋体" w:eastAsia="宋体"/>
                <w:sz w:val="16"/>
              </w:rPr>
              <w:t>特克斯县第二十六个党风廉政教育月活动实施方案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10731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00D61">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FC78F">
            <w:pPr>
              <w:jc w:val="center"/>
            </w:pPr>
            <w:r>
              <w:rPr>
                <w:rFonts w:ascii="宋体" w:hAnsi="宋体" w:eastAsia="宋体"/>
                <w:sz w:val="16"/>
              </w:rPr>
              <w:t>10</w:t>
            </w:r>
          </w:p>
        </w:tc>
      </w:tr>
      <w:tr w14:paraId="7ED0D7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542F8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5287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67F06">
            <w:pPr>
              <w:jc w:val="center"/>
            </w:pPr>
            <w:r>
              <w:rPr>
                <w:rFonts w:ascii="宋体" w:hAnsi="宋体" w:eastAsia="宋体"/>
                <w:sz w:val="16"/>
              </w:rPr>
              <w:t>开展纪检监察干部培训次数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4A869">
            <w:pPr>
              <w:jc w:val="center"/>
            </w:pPr>
            <w:r>
              <w:rPr>
                <w:rFonts w:ascii="宋体" w:hAnsi="宋体" w:eastAsia="宋体"/>
                <w:sz w:val="16"/>
              </w:rPr>
              <w:t>&gt;=2场次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45C61F">
            <w:pPr>
              <w:jc w:val="center"/>
            </w:pPr>
            <w:r>
              <w:rPr>
                <w:rFonts w:ascii="宋体" w:hAnsi="宋体" w:eastAsia="宋体"/>
                <w:sz w:val="16"/>
              </w:rPr>
              <w:t>特克斯县纪委监委培训方案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D7BB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DA2AE">
            <w:pPr>
              <w:jc w:val="center"/>
            </w:pPr>
            <w:r>
              <w:rPr>
                <w:rFonts w:ascii="宋体" w:hAnsi="宋体" w:eastAsia="宋体"/>
                <w:sz w:val="16"/>
              </w:rPr>
              <w: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07696">
            <w:pPr>
              <w:jc w:val="center"/>
            </w:pPr>
            <w:r>
              <w:rPr>
                <w:rFonts w:ascii="宋体" w:hAnsi="宋体" w:eastAsia="宋体"/>
                <w:sz w:val="16"/>
              </w:rPr>
              <w:t>20</w:t>
            </w:r>
          </w:p>
        </w:tc>
      </w:tr>
    </w:tbl>
    <w:p w14:paraId="6708CEC0">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696"/>
        <w:gridCol w:w="776"/>
        <w:gridCol w:w="631"/>
        <w:gridCol w:w="615"/>
        <w:gridCol w:w="615"/>
        <w:gridCol w:w="615"/>
        <w:gridCol w:w="615"/>
        <w:gridCol w:w="631"/>
      </w:tblGrid>
      <w:tr w14:paraId="614691BE">
        <w:tblPrEx>
          <w:tblCellMar>
            <w:top w:w="0" w:type="dxa"/>
            <w:left w:w="108" w:type="dxa"/>
            <w:bottom w:w="0" w:type="dxa"/>
            <w:right w:w="108" w:type="dxa"/>
          </w:tblCellMar>
        </w:tblPrEx>
        <w:tc>
          <w:tcPr>
            <w:tcW w:w="8848" w:type="dxa"/>
            <w:gridSpan w:val="14"/>
            <w:vAlign w:val="center"/>
          </w:tcPr>
          <w:p w14:paraId="51D6A7F6">
            <w:pPr>
              <w:jc w:val="center"/>
            </w:pPr>
            <w:r>
              <w:rPr>
                <w:rFonts w:ascii="宋体" w:hAnsi="宋体" w:eastAsia="宋体"/>
                <w:sz w:val="24"/>
              </w:rPr>
              <w:t>项目支出绩效自评表</w:t>
            </w:r>
          </w:p>
        </w:tc>
      </w:tr>
      <w:tr w14:paraId="4227CD76">
        <w:tblPrEx>
          <w:tblCellMar>
            <w:top w:w="0" w:type="dxa"/>
            <w:left w:w="108" w:type="dxa"/>
            <w:bottom w:w="0" w:type="dxa"/>
            <w:right w:w="108" w:type="dxa"/>
          </w:tblCellMar>
        </w:tblPrEx>
        <w:tc>
          <w:tcPr>
            <w:tcW w:w="8848" w:type="dxa"/>
            <w:gridSpan w:val="14"/>
            <w:vAlign w:val="center"/>
          </w:tcPr>
          <w:p w14:paraId="610AE49C">
            <w:pPr>
              <w:jc w:val="center"/>
            </w:pPr>
            <w:r>
              <w:rPr>
                <w:rFonts w:ascii="宋体" w:hAnsi="宋体" w:eastAsia="宋体"/>
                <w:sz w:val="24"/>
              </w:rPr>
              <w:t>(2024年度)</w:t>
            </w:r>
          </w:p>
        </w:tc>
      </w:tr>
      <w:tr w14:paraId="717C15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FEC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CCF4A5">
            <w:pPr>
              <w:jc w:val="center"/>
            </w:pPr>
            <w:r>
              <w:rPr>
                <w:rFonts w:ascii="宋体" w:hAnsi="宋体" w:eastAsia="宋体"/>
                <w:sz w:val="16"/>
              </w:rPr>
              <w:t>特克斯县纪委监委车辆购置</w:t>
            </w:r>
          </w:p>
        </w:tc>
      </w:tr>
      <w:tr w14:paraId="2B68FF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A48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908E86">
            <w:pPr>
              <w:jc w:val="center"/>
            </w:pPr>
            <w:r>
              <w:rPr>
                <w:rFonts w:ascii="宋体" w:hAnsi="宋体" w:eastAsia="宋体"/>
                <w:sz w:val="16"/>
              </w:rPr>
              <w:t>中共特克斯县纪律检查委员会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5C6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92EBAE">
            <w:pPr>
              <w:jc w:val="center"/>
            </w:pPr>
            <w:r>
              <w:rPr>
                <w:rFonts w:ascii="宋体" w:hAnsi="宋体" w:eastAsia="宋体"/>
                <w:sz w:val="16"/>
              </w:rPr>
              <w:t>中共特克斯县纪律检查委员会</w:t>
            </w:r>
          </w:p>
        </w:tc>
      </w:tr>
      <w:tr w14:paraId="3C7A1F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F90C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D866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A3B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FF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FFD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5FB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AC0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44FF">
            <w:pPr>
              <w:jc w:val="center"/>
            </w:pPr>
            <w:r>
              <w:rPr>
                <w:rFonts w:ascii="宋体" w:hAnsi="宋体" w:eastAsia="宋体"/>
                <w:sz w:val="16"/>
              </w:rPr>
              <w:t>得分</w:t>
            </w:r>
          </w:p>
        </w:tc>
      </w:tr>
      <w:tr w14:paraId="1A91E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731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4E0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FC767">
            <w:pPr>
              <w:jc w:val="center"/>
            </w:pPr>
            <w:r>
              <w:rPr>
                <w:rFonts w:ascii="宋体" w:hAnsi="宋体" w:eastAsia="宋体"/>
                <w:sz w:val="16"/>
              </w:rPr>
              <w:t>38.62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CC22">
            <w:pPr>
              <w:jc w:val="center"/>
            </w:pPr>
            <w:r>
              <w:rPr>
                <w:rFonts w:ascii="宋体" w:hAnsi="宋体" w:eastAsia="宋体"/>
                <w:sz w:val="16"/>
              </w:rPr>
              <w:t>38.62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88347">
            <w:pPr>
              <w:jc w:val="center"/>
            </w:pPr>
            <w:r>
              <w:rPr>
                <w:rFonts w:ascii="宋体" w:hAnsi="宋体" w:eastAsia="宋体"/>
                <w:sz w:val="16"/>
              </w:rPr>
              <w:t>37.13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7B8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42566">
            <w:pPr>
              <w:jc w:val="center"/>
            </w:pPr>
            <w:r>
              <w:rPr>
                <w:rFonts w:ascii="宋体" w:hAnsi="宋体" w:eastAsia="宋体"/>
                <w:sz w:val="16"/>
              </w:rPr>
              <w:t>96.14%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1707">
            <w:pPr>
              <w:jc w:val="center"/>
            </w:pPr>
            <w:r>
              <w:rPr>
                <w:rFonts w:ascii="宋体" w:hAnsi="宋体" w:eastAsia="宋体"/>
                <w:sz w:val="16"/>
              </w:rPr>
              <w:t>10.00</w:t>
            </w:r>
          </w:p>
        </w:tc>
      </w:tr>
      <w:tr w14:paraId="4CD6C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84F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28E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300A2">
            <w:pPr>
              <w:jc w:val="center"/>
            </w:pPr>
            <w:r>
              <w:rPr>
                <w:rFonts w:ascii="宋体" w:hAnsi="宋体" w:eastAsia="宋体"/>
                <w:sz w:val="16"/>
              </w:rPr>
              <w:t>38.62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16B50">
            <w:pPr>
              <w:jc w:val="center"/>
            </w:pPr>
            <w:r>
              <w:rPr>
                <w:rFonts w:ascii="宋体" w:hAnsi="宋体" w:eastAsia="宋体"/>
                <w:sz w:val="16"/>
              </w:rPr>
              <w:t>38.62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9473">
            <w:pPr>
              <w:jc w:val="center"/>
            </w:pPr>
            <w:r>
              <w:rPr>
                <w:rFonts w:ascii="宋体" w:hAnsi="宋体" w:eastAsia="宋体"/>
                <w:sz w:val="16"/>
              </w:rPr>
              <w:t>37.13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8F9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AC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C602">
            <w:pPr>
              <w:jc w:val="center"/>
            </w:pPr>
            <w:r>
              <w:rPr>
                <w:rFonts w:ascii="宋体" w:hAnsi="宋体" w:eastAsia="宋体"/>
                <w:sz w:val="16"/>
              </w:rPr>
              <w:t>—</w:t>
            </w:r>
          </w:p>
        </w:tc>
      </w:tr>
      <w:tr w14:paraId="1B653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A9B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BC6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93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FD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1D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CD4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19F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B6E1">
            <w:pPr>
              <w:jc w:val="center"/>
            </w:pPr>
            <w:r>
              <w:rPr>
                <w:rFonts w:ascii="宋体" w:hAnsi="宋体" w:eastAsia="宋体"/>
                <w:sz w:val="16"/>
              </w:rPr>
              <w:t>—</w:t>
            </w:r>
          </w:p>
        </w:tc>
      </w:tr>
      <w:tr w14:paraId="573EF4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99F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685B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23AE3F">
            <w:pPr>
              <w:jc w:val="center"/>
            </w:pPr>
            <w:r>
              <w:rPr>
                <w:rFonts w:ascii="宋体" w:hAnsi="宋体" w:eastAsia="宋体"/>
                <w:sz w:val="16"/>
              </w:rPr>
              <w:t>实际完成情况</w:t>
            </w:r>
          </w:p>
        </w:tc>
      </w:tr>
      <w:tr w14:paraId="57830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D83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4A657C">
            <w:pPr>
              <w:jc w:val="both"/>
            </w:pPr>
            <w:r>
              <w:rPr>
                <w:rFonts w:ascii="宋体" w:hAnsi="宋体" w:eastAsia="宋体"/>
                <w:sz w:val="16"/>
              </w:rPr>
              <w:t>采购程序合规、公平、公正、透明，购置公务用车3辆，采购车辆达到技术质量标准，符合实际工作需求，保障</w:t>
            </w:r>
            <w:r>
              <w:rPr>
                <w:rFonts w:hint="eastAsia" w:ascii="宋体" w:hAnsi="宋体"/>
                <w:sz w:val="16"/>
                <w:lang w:eastAsia="zh-CN"/>
              </w:rPr>
              <w:t>单位</w:t>
            </w:r>
            <w:r>
              <w:rPr>
                <w:rFonts w:ascii="宋体" w:hAnsi="宋体" w:eastAsia="宋体"/>
                <w:sz w:val="16"/>
              </w:rPr>
              <w:t>正常运转，保质保量完成总体目标。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F1DDAA">
            <w:pPr>
              <w:jc w:val="both"/>
            </w:pPr>
            <w:r>
              <w:rPr>
                <w:rFonts w:ascii="宋体" w:hAnsi="宋体" w:eastAsia="宋体"/>
                <w:sz w:val="16"/>
              </w:rPr>
              <w:t>本</w:t>
            </w:r>
            <w:r>
              <w:rPr>
                <w:rFonts w:hint="eastAsia" w:ascii="宋体" w:hAnsi="宋体"/>
                <w:sz w:val="16"/>
                <w:lang w:eastAsia="zh-CN"/>
              </w:rPr>
              <w:t>单位</w:t>
            </w:r>
            <w:r>
              <w:rPr>
                <w:rFonts w:ascii="宋体" w:hAnsi="宋体" w:eastAsia="宋体"/>
                <w:sz w:val="16"/>
              </w:rPr>
              <w:t>2024年2月8日采购完成车辆购置，3辆公务车已到位，保障了本</w:t>
            </w:r>
            <w:r>
              <w:rPr>
                <w:rFonts w:hint="eastAsia" w:ascii="宋体" w:hAnsi="宋体"/>
                <w:sz w:val="16"/>
                <w:lang w:eastAsia="zh-CN"/>
              </w:rPr>
              <w:t>单位</w:t>
            </w:r>
            <w:r>
              <w:rPr>
                <w:rFonts w:ascii="宋体" w:hAnsi="宋体" w:eastAsia="宋体"/>
                <w:sz w:val="16"/>
              </w:rPr>
              <w:t>工作人员正常开展工作。</w:t>
            </w:r>
          </w:p>
        </w:tc>
      </w:tr>
      <w:tr w14:paraId="263DC9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7F7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D5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BE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96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F7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D06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D82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19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114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07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50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CF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47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2B02">
            <w:pPr>
              <w:jc w:val="center"/>
            </w:pPr>
            <w:r>
              <w:rPr>
                <w:rFonts w:ascii="宋体" w:hAnsi="宋体" w:eastAsia="宋体"/>
                <w:sz w:val="16"/>
              </w:rPr>
              <w:t>偏差原因分析及改进措施</w:t>
            </w:r>
          </w:p>
        </w:tc>
      </w:tr>
      <w:tr w14:paraId="19CCC1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592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AB3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405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4A12">
            <w:pPr>
              <w:jc w:val="center"/>
            </w:pPr>
            <w:r>
              <w:rPr>
                <w:rFonts w:ascii="宋体" w:hAnsi="宋体" w:eastAsia="宋体"/>
                <w:sz w:val="16"/>
              </w:rPr>
              <w:t>保证</w:t>
            </w:r>
            <w:r>
              <w:rPr>
                <w:rFonts w:hint="eastAsia" w:ascii="宋体" w:hAnsi="宋体"/>
                <w:sz w:val="16"/>
                <w:lang w:eastAsia="zh-CN"/>
              </w:rPr>
              <w:t>单位</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B4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3C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83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5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7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9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3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B2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37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CABF">
            <w:pPr>
              <w:jc w:val="center"/>
            </w:pPr>
          </w:p>
        </w:tc>
      </w:tr>
      <w:tr w14:paraId="244E3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27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BC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28D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4ED8">
            <w:pPr>
              <w:jc w:val="center"/>
            </w:pPr>
            <w:r>
              <w:rPr>
                <w:rFonts w:ascii="宋体" w:hAnsi="宋体" w:eastAsia="宋体"/>
                <w:sz w:val="16"/>
              </w:rPr>
              <w:t>购置车辆数量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EE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7DD2">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5ABE">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D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E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3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9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0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CF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2BB0">
            <w:pPr>
              <w:jc w:val="center"/>
            </w:pPr>
          </w:p>
        </w:tc>
      </w:tr>
      <w:tr w14:paraId="017E8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77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2A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0E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A4E6">
            <w:pPr>
              <w:jc w:val="center"/>
            </w:pPr>
            <w:r>
              <w:rPr>
                <w:rFonts w:ascii="宋体" w:hAnsi="宋体" w:eastAsia="宋体"/>
                <w:sz w:val="16"/>
              </w:rPr>
              <w:t>车辆购置合格率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63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CD9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D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1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4F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9E9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2C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A9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C5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B098">
            <w:pPr>
              <w:jc w:val="center"/>
            </w:pPr>
          </w:p>
        </w:tc>
      </w:tr>
      <w:tr w14:paraId="0D84D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7C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5A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D7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221A">
            <w:pPr>
              <w:jc w:val="center"/>
            </w:pPr>
            <w:r>
              <w:rPr>
                <w:rFonts w:ascii="宋体" w:hAnsi="宋体" w:eastAsia="宋体"/>
                <w:sz w:val="16"/>
              </w:rPr>
              <w:t>车辆购置完成时间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C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0EC7">
            <w:pPr>
              <w:jc w:val="center"/>
            </w:pPr>
            <w:r>
              <w:rPr>
                <w:rFonts w:ascii="宋体" w:hAnsi="宋体" w:eastAsia="宋体"/>
                <w:sz w:val="16"/>
              </w:rPr>
              <w:t>2024年5月1日前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0925">
            <w:pPr>
              <w:jc w:val="center"/>
            </w:pPr>
            <w:r>
              <w:rPr>
                <w:rFonts w:ascii="宋体" w:hAnsi="宋体" w:eastAsia="宋体"/>
                <w:sz w:val="16"/>
              </w:rPr>
              <w:t>2024年2月8日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2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14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5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F9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30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5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4EDB">
            <w:pPr>
              <w:jc w:val="center"/>
            </w:pPr>
          </w:p>
        </w:tc>
      </w:tr>
      <w:tr w14:paraId="7C9E1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3D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F6C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1C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FFBD">
            <w:pPr>
              <w:jc w:val="center"/>
            </w:pPr>
            <w:r>
              <w:rPr>
                <w:rFonts w:ascii="宋体" w:hAnsi="宋体" w:eastAsia="宋体"/>
                <w:sz w:val="16"/>
              </w:rPr>
              <w:t>车辆单价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E1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5EA4">
            <w:pPr>
              <w:jc w:val="center"/>
            </w:pPr>
            <w:r>
              <w:rPr>
                <w:rFonts w:ascii="宋体" w:hAnsi="宋体" w:eastAsia="宋体"/>
                <w:sz w:val="16"/>
              </w:rPr>
              <w:t>&lt;=12.87万元/辆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5802">
            <w:pPr>
              <w:jc w:val="center"/>
            </w:pPr>
            <w:r>
              <w:rPr>
                <w:rFonts w:ascii="宋体" w:hAnsi="宋体" w:eastAsia="宋体"/>
                <w:sz w:val="16"/>
              </w:rPr>
              <w:t>12.376万元/辆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A101">
            <w:pPr>
              <w:jc w:val="center"/>
            </w:pPr>
            <w:r>
              <w:rPr>
                <w:rFonts w:ascii="宋体" w:hAnsi="宋体" w:eastAsia="宋体"/>
                <w:sz w:val="16"/>
              </w:rPr>
              <w:t>96.16%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A31D">
            <w:pPr>
              <w:jc w:val="center"/>
            </w:pPr>
            <w:r>
              <w:rPr>
                <w:rFonts w:ascii="宋体" w:hAnsi="宋体" w:eastAsia="宋体"/>
                <w:sz w:val="16"/>
              </w:rPr>
              <w:t>19.23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8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F8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A9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85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D70A">
            <w:pPr>
              <w:jc w:val="center"/>
            </w:pPr>
            <w:r>
              <w:rPr>
                <w:rFonts w:ascii="宋体" w:hAnsi="宋体" w:eastAsia="宋体"/>
                <w:sz w:val="16"/>
              </w:rPr>
              <w:t>对车辆实际需求评估不准确，导致预算过高。</w:t>
            </w:r>
          </w:p>
        </w:tc>
      </w:tr>
      <w:tr w14:paraId="6342A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35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82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AB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E0FF5">
            <w:pPr>
              <w:jc w:val="center"/>
            </w:pPr>
            <w:r>
              <w:rPr>
                <w:rFonts w:ascii="宋体" w:hAnsi="宋体" w:eastAsia="宋体"/>
                <w:sz w:val="16"/>
              </w:rPr>
              <w:t>提升工作效率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73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A94F">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F726">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1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7C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59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A9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E0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28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0021">
            <w:pPr>
              <w:jc w:val="center"/>
            </w:pPr>
          </w:p>
        </w:tc>
      </w:tr>
      <w:tr w14:paraId="1076B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08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2D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E2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C7FD">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3E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AA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D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FB02">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E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F7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10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D4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3E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3F88">
            <w:pPr>
              <w:jc w:val="center"/>
            </w:pPr>
            <w:r>
              <w:rPr>
                <w:rFonts w:hint="eastAsia" w:ascii="宋体" w:hAnsi="宋体"/>
                <w:sz w:val="16"/>
                <w:lang w:eastAsia="zh-CN"/>
              </w:rPr>
              <w:t>单位</w:t>
            </w:r>
            <w:r>
              <w:rPr>
                <w:rFonts w:ascii="宋体" w:hAnsi="宋体" w:eastAsia="宋体"/>
                <w:sz w:val="16"/>
              </w:rPr>
              <w:t>为职工提供了安全性</w:t>
            </w:r>
            <w:r>
              <w:rPr>
                <w:rFonts w:hint="eastAsia" w:ascii="宋体" w:hAnsi="宋体"/>
                <w:sz w:val="16"/>
                <w:lang w:eastAsia="zh-CN"/>
              </w:rPr>
              <w:t>高</w:t>
            </w:r>
            <w:r>
              <w:rPr>
                <w:rFonts w:ascii="宋体" w:hAnsi="宋体" w:eastAsia="宋体"/>
                <w:sz w:val="16"/>
              </w:rPr>
              <w:t>的公务用车提高了职工的工作效率，改善了职工的工作条件，提升了本</w:t>
            </w:r>
            <w:r>
              <w:rPr>
                <w:rFonts w:hint="eastAsia" w:ascii="宋体" w:hAnsi="宋体"/>
                <w:sz w:val="16"/>
                <w:lang w:eastAsia="zh-CN"/>
              </w:rPr>
              <w:t>单位</w:t>
            </w:r>
            <w:r>
              <w:rPr>
                <w:rFonts w:ascii="宋体" w:hAnsi="宋体" w:eastAsia="宋体"/>
                <w:sz w:val="16"/>
              </w:rPr>
              <w:t>职工的满意度。</w:t>
            </w:r>
          </w:p>
        </w:tc>
      </w:tr>
      <w:tr w14:paraId="62C24B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05E7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C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783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1315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AC06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AB6E">
            <w:pPr>
              <w:jc w:val="center"/>
            </w:pPr>
            <w:r>
              <w:rPr>
                <w:rFonts w:ascii="宋体" w:hAnsi="宋体" w:eastAsia="宋体"/>
                <w:sz w:val="16"/>
              </w:rPr>
              <w:t>99.23分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4D4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372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B5BB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36B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7ACAD"/>
        </w:tc>
      </w:tr>
    </w:tbl>
    <w:p w14:paraId="796EB929">
      <w:r>
        <w:br w:type="page"/>
      </w:r>
    </w:p>
    <w:p w14:paraId="6D899DE5">
      <w:pPr>
        <w:spacing w:line="640" w:lineRule="exact"/>
        <w:ind w:firstLine="640"/>
        <w:jc w:val="both"/>
        <w:outlineLvl w:val="2"/>
      </w:pPr>
      <w:r>
        <w:rPr>
          <w:rFonts w:ascii="黑体" w:hAnsi="黑体" w:eastAsia="黑体"/>
          <w:sz w:val="32"/>
        </w:rPr>
        <w:t>十二、其他需说明的事项</w:t>
      </w:r>
    </w:p>
    <w:p w14:paraId="2C40611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3C57DD4">
      <w:r>
        <w:br w:type="page"/>
      </w:r>
    </w:p>
    <w:p w14:paraId="6B919F81">
      <w:pPr>
        <w:spacing w:line="240" w:lineRule="auto"/>
        <w:jc w:val="center"/>
        <w:outlineLvl w:val="1"/>
      </w:pPr>
      <w:r>
        <w:rPr>
          <w:rFonts w:ascii="黑体" w:hAnsi="黑体" w:eastAsia="黑体"/>
          <w:sz w:val="32"/>
        </w:rPr>
        <w:t>第三部分 专业名词解释</w:t>
      </w:r>
    </w:p>
    <w:p w14:paraId="16F1A02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371542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A4FFE6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298989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3F992D7">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337982C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5D21F50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358EAD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17993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0C379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AC5C4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44CF5698">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A1C9B7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34E632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713A8B06">
      <w:r>
        <w:br w:type="page"/>
      </w:r>
    </w:p>
    <w:p w14:paraId="26880A44">
      <w:pPr>
        <w:spacing w:line="240" w:lineRule="auto"/>
        <w:jc w:val="center"/>
        <w:outlineLvl w:val="1"/>
      </w:pPr>
      <w:r>
        <w:rPr>
          <w:rFonts w:ascii="黑体" w:hAnsi="黑体" w:eastAsia="黑体"/>
          <w:sz w:val="32"/>
        </w:rPr>
        <w:t>第四部分 部门决算报表（见附表）</w:t>
      </w:r>
    </w:p>
    <w:p w14:paraId="5926C2F0">
      <w:pPr>
        <w:spacing w:line="240" w:lineRule="auto"/>
        <w:ind w:firstLine="640"/>
        <w:jc w:val="both"/>
      </w:pPr>
      <w:r>
        <w:rPr>
          <w:rFonts w:ascii="仿宋_GB2312" w:hAnsi="仿宋_GB2312" w:eastAsia="仿宋_GB2312"/>
          <w:b w:val="0"/>
          <w:sz w:val="32"/>
        </w:rPr>
        <w:t>一、《收入支出决算总表》</w:t>
      </w:r>
    </w:p>
    <w:p w14:paraId="432D73CC">
      <w:pPr>
        <w:spacing w:line="240" w:lineRule="auto"/>
        <w:ind w:firstLine="640"/>
        <w:jc w:val="both"/>
      </w:pPr>
      <w:r>
        <w:rPr>
          <w:rFonts w:ascii="仿宋_GB2312" w:hAnsi="仿宋_GB2312" w:eastAsia="仿宋_GB2312"/>
          <w:b w:val="0"/>
          <w:sz w:val="32"/>
        </w:rPr>
        <w:t>二、《收入决算表》</w:t>
      </w:r>
    </w:p>
    <w:p w14:paraId="33E5BB86">
      <w:pPr>
        <w:spacing w:line="240" w:lineRule="auto"/>
        <w:ind w:firstLine="640"/>
        <w:jc w:val="both"/>
      </w:pPr>
      <w:r>
        <w:rPr>
          <w:rFonts w:ascii="仿宋_GB2312" w:hAnsi="仿宋_GB2312" w:eastAsia="仿宋_GB2312"/>
          <w:b w:val="0"/>
          <w:sz w:val="32"/>
        </w:rPr>
        <w:t>三、《支出决算表》</w:t>
      </w:r>
    </w:p>
    <w:p w14:paraId="5D3ACBD4">
      <w:pPr>
        <w:spacing w:line="240" w:lineRule="auto"/>
        <w:ind w:firstLine="640"/>
        <w:jc w:val="both"/>
      </w:pPr>
      <w:r>
        <w:rPr>
          <w:rFonts w:ascii="仿宋_GB2312" w:hAnsi="仿宋_GB2312" w:eastAsia="仿宋_GB2312"/>
          <w:b w:val="0"/>
          <w:sz w:val="32"/>
        </w:rPr>
        <w:t>四、《财政拨款收入支出决算总表》</w:t>
      </w:r>
    </w:p>
    <w:p w14:paraId="5EBDD3E9">
      <w:pPr>
        <w:spacing w:line="240" w:lineRule="auto"/>
        <w:ind w:firstLine="640"/>
        <w:jc w:val="both"/>
      </w:pPr>
      <w:r>
        <w:rPr>
          <w:rFonts w:ascii="仿宋_GB2312" w:hAnsi="仿宋_GB2312" w:eastAsia="仿宋_GB2312"/>
          <w:b w:val="0"/>
          <w:sz w:val="32"/>
        </w:rPr>
        <w:t>五、《一般公共预算财政拨款支出决算表》</w:t>
      </w:r>
    </w:p>
    <w:p w14:paraId="4BF2AC84">
      <w:pPr>
        <w:spacing w:line="240" w:lineRule="auto"/>
        <w:ind w:firstLine="640"/>
        <w:jc w:val="both"/>
      </w:pPr>
      <w:r>
        <w:rPr>
          <w:rFonts w:ascii="仿宋_GB2312" w:hAnsi="仿宋_GB2312" w:eastAsia="仿宋_GB2312"/>
          <w:b w:val="0"/>
          <w:sz w:val="32"/>
        </w:rPr>
        <w:t>六、《一般公共预算财政拨款基本支出决算表》</w:t>
      </w:r>
    </w:p>
    <w:p w14:paraId="6D461B01">
      <w:pPr>
        <w:spacing w:line="240" w:lineRule="auto"/>
        <w:ind w:firstLine="640"/>
        <w:jc w:val="both"/>
      </w:pPr>
      <w:r>
        <w:rPr>
          <w:rFonts w:ascii="仿宋_GB2312" w:hAnsi="仿宋_GB2312" w:eastAsia="仿宋_GB2312"/>
          <w:b w:val="0"/>
          <w:sz w:val="32"/>
        </w:rPr>
        <w:t>七、《政府性基金预算财政拨款收入支出决算表》</w:t>
      </w:r>
    </w:p>
    <w:p w14:paraId="081D2AC7">
      <w:pPr>
        <w:spacing w:line="240" w:lineRule="auto"/>
        <w:ind w:firstLine="640"/>
        <w:jc w:val="both"/>
      </w:pPr>
      <w:r>
        <w:rPr>
          <w:rFonts w:ascii="仿宋_GB2312" w:hAnsi="仿宋_GB2312" w:eastAsia="仿宋_GB2312"/>
          <w:b w:val="0"/>
          <w:sz w:val="32"/>
        </w:rPr>
        <w:t>八、《国有资本经营预算财政拨款收入支出决算表》</w:t>
      </w:r>
    </w:p>
    <w:p w14:paraId="07B02384">
      <w:pPr>
        <w:spacing w:line="240" w:lineRule="auto"/>
        <w:ind w:firstLine="640"/>
        <w:jc w:val="both"/>
      </w:pPr>
      <w:r>
        <w:rPr>
          <w:rFonts w:ascii="仿宋_GB2312" w:hAnsi="仿宋_GB2312" w:eastAsia="仿宋_GB2312"/>
          <w:b w:val="0"/>
          <w:sz w:val="32"/>
        </w:rPr>
        <w:t>九、《财政拨款“三公”经费支出决算表》</w:t>
      </w:r>
    </w:p>
    <w:p w14:paraId="653BF5AD">
      <w:pPr>
        <w:spacing w:line="240" w:lineRule="auto"/>
        <w:ind w:firstLine="640"/>
        <w:jc w:val="both"/>
      </w:pPr>
    </w:p>
    <w:p w14:paraId="4A1F64CB">
      <w:pPr>
        <w:spacing w:line="240" w:lineRule="auto"/>
        <w:ind w:firstLine="640"/>
        <w:jc w:val="both"/>
      </w:pPr>
    </w:p>
    <w:p w14:paraId="50E620F9">
      <w:pPr>
        <w:spacing w:line="240" w:lineRule="auto"/>
        <w:ind w:firstLine="640"/>
        <w:jc w:val="both"/>
      </w:pPr>
    </w:p>
    <w:p w14:paraId="2934FD5E">
      <w:pPr>
        <w:spacing w:line="240" w:lineRule="auto"/>
        <w:ind w:firstLine="640"/>
        <w:jc w:val="both"/>
      </w:pPr>
    </w:p>
    <w:p w14:paraId="174E89E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5660B1"/>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2811EB"/>
    <w:rsid w:val="27CE017C"/>
    <w:rsid w:val="27CF2642"/>
    <w:rsid w:val="282459E2"/>
    <w:rsid w:val="29116777"/>
    <w:rsid w:val="2A053397"/>
    <w:rsid w:val="2A444FB1"/>
    <w:rsid w:val="2A6064E2"/>
    <w:rsid w:val="2B5D15AF"/>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572EDD"/>
    <w:rsid w:val="46901EEE"/>
    <w:rsid w:val="469C74D2"/>
    <w:rsid w:val="47445515"/>
    <w:rsid w:val="4B4C0111"/>
    <w:rsid w:val="4BB23021"/>
    <w:rsid w:val="4F3F074E"/>
    <w:rsid w:val="4F9019AF"/>
    <w:rsid w:val="50DB5F45"/>
    <w:rsid w:val="52F92565"/>
    <w:rsid w:val="543D17CB"/>
    <w:rsid w:val="55DA564E"/>
    <w:rsid w:val="56E07045"/>
    <w:rsid w:val="583059FA"/>
    <w:rsid w:val="587E6212"/>
    <w:rsid w:val="5AFC6609"/>
    <w:rsid w:val="5FA17648"/>
    <w:rsid w:val="5FD320BD"/>
    <w:rsid w:val="60DE4D57"/>
    <w:rsid w:val="613409CB"/>
    <w:rsid w:val="61A46A97"/>
    <w:rsid w:val="62DD7D21"/>
    <w:rsid w:val="642C6BA9"/>
    <w:rsid w:val="65D97752"/>
    <w:rsid w:val="664C500C"/>
    <w:rsid w:val="67D111AB"/>
    <w:rsid w:val="68DB0208"/>
    <w:rsid w:val="68DF36D5"/>
    <w:rsid w:val="69846A0E"/>
    <w:rsid w:val="69AD798C"/>
    <w:rsid w:val="6B68175F"/>
    <w:rsid w:val="6B8B5C99"/>
    <w:rsid w:val="6C90660F"/>
    <w:rsid w:val="6CA7198F"/>
    <w:rsid w:val="6D8919A8"/>
    <w:rsid w:val="6E0F7A08"/>
    <w:rsid w:val="6E801ABC"/>
    <w:rsid w:val="71473612"/>
    <w:rsid w:val="718F7F65"/>
    <w:rsid w:val="73423603"/>
    <w:rsid w:val="737A5923"/>
    <w:rsid w:val="73DE4104"/>
    <w:rsid w:val="73FB6630"/>
    <w:rsid w:val="74CE04EC"/>
    <w:rsid w:val="74E76DCD"/>
    <w:rsid w:val="75BA25F3"/>
    <w:rsid w:val="76660D7C"/>
    <w:rsid w:val="76CC46E8"/>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c6420443-c743-45b2-b883-6f53df3dafcb</errorID>
      <errorWord>民族分裂</errorWord>
      <group>L1_Sensitive</group>
      <groupName>敏感问题</groupName>
      <ability>L2_UserSensitive</ability>
      <abilityName>自定义敏感词</abilityName>
      <candidateList/>
      <explain>来自自定义敏感词库。</explain>
      <paraID>777BB6C2</paraID>
      <start>77</start>
      <end>81</end>
      <status>unmodified</status>
      <modifiedWord/>
      <trackRevisions>false</trackRevisions>
    </reviewItem>
    <reviewItem>
      <errorID>07980707-1b35-4399-9181-72c65329fec5</errorID>
      <errorWord>辆</errorWord>
      <group>L1_Knowledge</group>
      <groupName>知识性问题</groupName>
      <ability>L2_Knowledge</ability>
      <abilityName>其他知识</abilityName>
      <candidateList>
        <item>台</item>
      </candidateList>
      <explain/>
      <paraID> 50EFE04</paraID>
      <start>85</start>
      <end>86</end>
      <status>unmodified</status>
      <modifiedWord/>
      <trackRevisions>false</trackRevisions>
    </reviewItem>
    <reviewItem>
      <errorID>6c68ca3a-dfad-4b15-aa4d-74d2902288a7</errorID>
      <errorWord>2月31日</errorWord>
      <group>L1_Sensitive</group>
      <groupName>敏感问题</groupName>
      <ability>L2_UserSensitive</ability>
      <abilityName>自定义敏感词</abilityName>
      <candidateList/>
      <explain>来自自定义敏感词库。</explain>
      <paraID> 8F994F8</paraID>
      <start>8</start>
      <end>13</end>
      <status>unmodified</status>
      <modifiedWord/>
      <trackRevisions>false</trackRevisions>
    </reviewItem>
    <reviewItem>
      <errorID>5d07282d-38d0-4d6e-b053-abffb19fa686</errorID>
      <errorWord>监控</errorWord>
      <group>L1_Sensitive</group>
      <groupName>敏感问题</groupName>
      <ability>L2_UserSensitive</ability>
      <abilityName>自定义敏感词</abilityName>
      <candidateList/>
      <explain>来自自定义敏感词库。</explain>
      <paraID>4811BACF</paraID>
      <start>473</start>
      <end>475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286c91-91cf-4967-b2df-75b2ddb35eec}">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5940</Words>
  <Characters>6683</Characters>
  <Lines>0</Lines>
  <Paragraphs>0</Paragraphs>
  <TotalTime>0</TotalTime>
  <ScaleCrop>false</ScaleCrop>
  <LinksUpToDate>false</LinksUpToDate>
  <CharactersWithSpaces>6691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