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A6BDA"/>
    <w:p w14:paraId="5E928FE2">
      <w:pPr>
        <w:spacing w:line="540" w:lineRule="exact"/>
        <w:rPr>
          <w:rFonts w:eastAsia="华文中宋"/>
          <w:b/>
          <w:kern w:val="0"/>
          <w:sz w:val="52"/>
          <w:szCs w:val="52"/>
        </w:rPr>
      </w:pPr>
    </w:p>
    <w:p w14:paraId="70382EBF">
      <w:pPr>
        <w:spacing w:line="540" w:lineRule="exact"/>
        <w:jc w:val="center"/>
        <w:rPr>
          <w:rFonts w:eastAsia="华文中宋"/>
          <w:b/>
          <w:kern w:val="0"/>
          <w:sz w:val="52"/>
          <w:szCs w:val="52"/>
        </w:rPr>
      </w:pPr>
    </w:p>
    <w:p w14:paraId="5F6976A4">
      <w:pPr>
        <w:spacing w:line="540" w:lineRule="exact"/>
        <w:jc w:val="center"/>
        <w:rPr>
          <w:rFonts w:eastAsia="华文中宋"/>
          <w:b/>
          <w:kern w:val="0"/>
          <w:sz w:val="52"/>
          <w:szCs w:val="52"/>
        </w:rPr>
      </w:pPr>
    </w:p>
    <w:p w14:paraId="03067D6D">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《中国共产党特克斯县简史》评审</w:t>
      </w:r>
    </w:p>
    <w:p w14:paraId="5215F048">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与《特克斯年鉴（2023）》出版</w:t>
      </w:r>
    </w:p>
    <w:p w14:paraId="25DECA29">
      <w:pPr>
        <w:spacing w:line="540" w:lineRule="exact"/>
        <w:jc w:val="center"/>
        <w:rPr>
          <w:rFonts w:eastAsia="方正小标宋_GBK"/>
          <w:kern w:val="0"/>
          <w:sz w:val="48"/>
          <w:szCs w:val="48"/>
        </w:rPr>
      </w:pPr>
      <w:r>
        <w:rPr>
          <w:rFonts w:hint="eastAsia" w:ascii="方正小标宋简体" w:hAnsi="方正小标宋简体" w:eastAsia="方正小标宋简体" w:cs="方正小标宋简体"/>
          <w:kern w:val="0"/>
          <w:sz w:val="44"/>
          <w:szCs w:val="44"/>
        </w:rPr>
        <w:t>印刷经费（本级）项目支出绩效评价报告</w:t>
      </w:r>
    </w:p>
    <w:p w14:paraId="36B46375">
      <w:pPr>
        <w:spacing w:line="540" w:lineRule="exact"/>
        <w:jc w:val="center"/>
        <w:rPr>
          <w:rFonts w:eastAsia="华文中宋"/>
          <w:b/>
          <w:kern w:val="0"/>
          <w:sz w:val="52"/>
          <w:szCs w:val="52"/>
        </w:rPr>
      </w:pPr>
    </w:p>
    <w:p w14:paraId="67E1A0E5">
      <w:pPr>
        <w:spacing w:line="540" w:lineRule="exact"/>
        <w:jc w:val="center"/>
        <w:rPr>
          <w:rFonts w:eastAsia="仿宋_GB2312"/>
          <w:kern w:val="0"/>
          <w:sz w:val="36"/>
          <w:szCs w:val="36"/>
        </w:rPr>
      </w:pPr>
      <w:r>
        <w:rPr>
          <w:rFonts w:eastAsia="仿宋_GB2312"/>
          <w:kern w:val="0"/>
          <w:sz w:val="36"/>
          <w:szCs w:val="36"/>
        </w:rPr>
        <w:t>（2024年度）</w:t>
      </w:r>
    </w:p>
    <w:p w14:paraId="163B4660">
      <w:pPr>
        <w:spacing w:line="540" w:lineRule="exact"/>
        <w:jc w:val="center"/>
        <w:rPr>
          <w:rFonts w:eastAsia="仿宋_GB2312"/>
          <w:kern w:val="0"/>
          <w:sz w:val="30"/>
          <w:szCs w:val="30"/>
        </w:rPr>
      </w:pPr>
    </w:p>
    <w:p w14:paraId="172B2885">
      <w:pPr>
        <w:spacing w:line="540" w:lineRule="exact"/>
        <w:jc w:val="both"/>
        <w:rPr>
          <w:rFonts w:eastAsia="仿宋_GB2312"/>
          <w:kern w:val="0"/>
          <w:sz w:val="30"/>
          <w:szCs w:val="30"/>
        </w:rPr>
      </w:pPr>
    </w:p>
    <w:p w14:paraId="5246D319">
      <w:pPr>
        <w:spacing w:line="700" w:lineRule="exact"/>
        <w:ind w:firstLine="1280" w:firstLineChars="400"/>
        <w:jc w:val="left"/>
        <w:rPr>
          <w:rFonts w:eastAsia="仿宋_GB2312"/>
          <w:kern w:val="0"/>
          <w:sz w:val="32"/>
          <w:szCs w:val="32"/>
        </w:rPr>
      </w:pPr>
      <w:r>
        <w:rPr>
          <w:rFonts w:eastAsia="仿宋_GB2312"/>
          <w:kern w:val="0"/>
          <w:sz w:val="32"/>
          <w:szCs w:val="32"/>
        </w:rPr>
        <w:t>项目名称：</w:t>
      </w:r>
      <w:bookmarkStart w:id="0" w:name="OLE_LINK3"/>
      <w:r>
        <w:rPr>
          <w:rFonts w:hint="eastAsia" w:eastAsia="仿宋_GB2312"/>
          <w:kern w:val="0"/>
          <w:sz w:val="32"/>
          <w:szCs w:val="32"/>
        </w:rPr>
        <w:t>《中国共产党特克斯县简史》评审</w:t>
      </w:r>
    </w:p>
    <w:p w14:paraId="7F54DEB3">
      <w:pPr>
        <w:spacing w:line="700" w:lineRule="exact"/>
        <w:ind w:firstLine="2880" w:firstLineChars="900"/>
        <w:jc w:val="left"/>
        <w:rPr>
          <w:rFonts w:eastAsia="仿宋_GB2312"/>
          <w:kern w:val="0"/>
          <w:sz w:val="32"/>
          <w:szCs w:val="32"/>
        </w:rPr>
      </w:pPr>
      <w:r>
        <w:rPr>
          <w:rFonts w:hint="eastAsia" w:eastAsia="仿宋_GB2312"/>
          <w:kern w:val="0"/>
          <w:sz w:val="32"/>
          <w:szCs w:val="32"/>
        </w:rPr>
        <w:t>与《特克斯年鉴（2023）》出版</w:t>
      </w:r>
    </w:p>
    <w:p w14:paraId="63E00EBA">
      <w:pPr>
        <w:spacing w:line="700" w:lineRule="exact"/>
        <w:ind w:firstLine="2880" w:firstLineChars="900"/>
        <w:jc w:val="left"/>
        <w:rPr>
          <w:rFonts w:eastAsia="仿宋_GB2312"/>
          <w:kern w:val="0"/>
          <w:sz w:val="32"/>
          <w:szCs w:val="32"/>
        </w:rPr>
      </w:pPr>
      <w:r>
        <w:rPr>
          <w:rFonts w:hint="eastAsia" w:eastAsia="仿宋_GB2312"/>
          <w:kern w:val="0"/>
          <w:sz w:val="32"/>
          <w:szCs w:val="32"/>
        </w:rPr>
        <w:t>印刷经费（本级）</w:t>
      </w:r>
      <w:bookmarkEnd w:id="0"/>
    </w:p>
    <w:p w14:paraId="344CA6CB">
      <w:pPr>
        <w:spacing w:line="700" w:lineRule="exact"/>
        <w:ind w:firstLine="1280" w:firstLineChars="400"/>
        <w:jc w:val="left"/>
        <w:rPr>
          <w:rFonts w:eastAsia="仿宋_GB2312"/>
          <w:kern w:val="0"/>
          <w:sz w:val="32"/>
          <w:szCs w:val="32"/>
        </w:rPr>
      </w:pPr>
      <w:r>
        <w:rPr>
          <w:rFonts w:eastAsia="仿宋_GB2312"/>
          <w:kern w:val="0"/>
          <w:sz w:val="32"/>
          <w:szCs w:val="32"/>
        </w:rPr>
        <w:t>实施单位（公章）：</w:t>
      </w:r>
      <w:bookmarkStart w:id="1" w:name="OLE_LINK1"/>
      <w:r>
        <w:rPr>
          <w:rFonts w:hint="eastAsia" w:eastAsia="仿宋_GB2312"/>
          <w:kern w:val="0"/>
          <w:sz w:val="32"/>
          <w:szCs w:val="32"/>
        </w:rPr>
        <w:t>中共特克斯县委党史研究</w:t>
      </w:r>
    </w:p>
    <w:p w14:paraId="57FE27E7">
      <w:pPr>
        <w:spacing w:line="700" w:lineRule="exact"/>
        <w:ind w:firstLine="4160" w:firstLineChars="1300"/>
        <w:jc w:val="left"/>
        <w:rPr>
          <w:rFonts w:eastAsia="仿宋_GB2312"/>
          <w:kern w:val="0"/>
          <w:sz w:val="32"/>
          <w:szCs w:val="32"/>
        </w:rPr>
      </w:pPr>
      <w:r>
        <w:rPr>
          <w:rFonts w:hint="eastAsia" w:eastAsia="仿宋_GB2312"/>
          <w:kern w:val="0"/>
          <w:sz w:val="32"/>
          <w:szCs w:val="32"/>
        </w:rPr>
        <w:t>室（县地方志办）</w:t>
      </w:r>
      <w:bookmarkEnd w:id="1"/>
    </w:p>
    <w:p w14:paraId="16AC327C">
      <w:pPr>
        <w:spacing w:line="700" w:lineRule="exact"/>
        <w:ind w:firstLine="1280" w:firstLineChars="400"/>
        <w:jc w:val="left"/>
        <w:rPr>
          <w:rFonts w:hint="eastAsia" w:eastAsia="仿宋_GB2312"/>
          <w:kern w:val="0"/>
          <w:sz w:val="32"/>
          <w:szCs w:val="32"/>
        </w:rPr>
      </w:pPr>
      <w:r>
        <w:rPr>
          <w:rFonts w:eastAsia="仿宋_GB2312"/>
          <w:kern w:val="0"/>
          <w:sz w:val="32"/>
          <w:szCs w:val="32"/>
        </w:rPr>
        <w:t>主管部门（公章）：</w:t>
      </w:r>
      <w:r>
        <w:rPr>
          <w:rFonts w:hint="eastAsia" w:eastAsia="仿宋_GB2312"/>
          <w:kern w:val="0"/>
          <w:sz w:val="32"/>
          <w:szCs w:val="32"/>
        </w:rPr>
        <w:t>中共特克斯县委员会办公室</w:t>
      </w:r>
    </w:p>
    <w:p w14:paraId="504B6225">
      <w:pPr>
        <w:spacing w:line="700" w:lineRule="exact"/>
        <w:ind w:firstLine="1280" w:firstLineChars="400"/>
        <w:jc w:val="left"/>
        <w:rPr>
          <w:rFonts w:eastAsia="仿宋_GB2312"/>
          <w:kern w:val="0"/>
          <w:sz w:val="32"/>
          <w:szCs w:val="32"/>
        </w:rPr>
      </w:pPr>
      <w:r>
        <w:rPr>
          <w:rFonts w:eastAsia="仿宋_GB2312"/>
          <w:kern w:val="0"/>
          <w:sz w:val="32"/>
          <w:szCs w:val="32"/>
        </w:rPr>
        <w:t>项目负责人（签章）：</w:t>
      </w:r>
      <w:r>
        <w:rPr>
          <w:rFonts w:hint="eastAsia" w:eastAsia="仿宋_GB2312"/>
          <w:kern w:val="0"/>
          <w:sz w:val="32"/>
          <w:szCs w:val="32"/>
        </w:rPr>
        <w:t>庞奇著</w:t>
      </w:r>
    </w:p>
    <w:p w14:paraId="505F1913">
      <w:pPr>
        <w:spacing w:line="700" w:lineRule="exact"/>
        <w:ind w:firstLine="1280" w:firstLineChars="400"/>
        <w:jc w:val="left"/>
        <w:rPr>
          <w:rFonts w:eastAsia="仿宋_GB2312"/>
          <w:kern w:val="0"/>
          <w:sz w:val="36"/>
          <w:szCs w:val="36"/>
        </w:rPr>
      </w:pPr>
      <w:r>
        <w:rPr>
          <w:rFonts w:eastAsia="仿宋_GB2312"/>
          <w:kern w:val="0"/>
          <w:sz w:val="32"/>
          <w:szCs w:val="32"/>
        </w:rPr>
        <w:t>填报时间：</w:t>
      </w:r>
      <w:r>
        <w:rPr>
          <w:rFonts w:hint="eastAsia" w:eastAsia="仿宋_GB2312"/>
          <w:kern w:val="0"/>
          <w:sz w:val="32"/>
          <w:szCs w:val="32"/>
        </w:rPr>
        <w:t>2025</w:t>
      </w:r>
      <w:r>
        <w:rPr>
          <w:rFonts w:eastAsia="仿宋_GB2312"/>
          <w:kern w:val="0"/>
          <w:sz w:val="32"/>
          <w:szCs w:val="32"/>
        </w:rPr>
        <w:t>年</w:t>
      </w:r>
      <w:r>
        <w:rPr>
          <w:rFonts w:hint="eastAsia" w:eastAsia="仿宋_GB2312"/>
          <w:kern w:val="0"/>
          <w:sz w:val="32"/>
          <w:szCs w:val="32"/>
        </w:rPr>
        <w:t>5</w:t>
      </w:r>
      <w:r>
        <w:rPr>
          <w:rFonts w:eastAsia="仿宋_GB2312"/>
          <w:kern w:val="0"/>
          <w:sz w:val="32"/>
          <w:szCs w:val="32"/>
        </w:rPr>
        <w:t>月</w:t>
      </w:r>
      <w:r>
        <w:rPr>
          <w:rFonts w:hint="eastAsia" w:eastAsia="仿宋_GB2312"/>
          <w:kern w:val="0"/>
          <w:sz w:val="32"/>
          <w:szCs w:val="32"/>
        </w:rPr>
        <w:t>12</w:t>
      </w:r>
      <w:r>
        <w:rPr>
          <w:rFonts w:eastAsia="仿宋_GB2312"/>
          <w:kern w:val="0"/>
          <w:sz w:val="32"/>
          <w:szCs w:val="32"/>
        </w:rPr>
        <w:t>日</w:t>
      </w:r>
    </w:p>
    <w:p w14:paraId="68A8CEF5">
      <w:pPr>
        <w:spacing w:line="540" w:lineRule="exact"/>
        <w:jc w:val="center"/>
        <w:rPr>
          <w:rFonts w:eastAsia="仿宋_GB2312"/>
          <w:kern w:val="0"/>
          <w:sz w:val="30"/>
          <w:szCs w:val="30"/>
        </w:rPr>
      </w:pPr>
    </w:p>
    <w:p w14:paraId="38C47249">
      <w:pPr>
        <w:spacing w:line="560" w:lineRule="exact"/>
        <w:rPr>
          <w:rFonts w:eastAsia="黑体"/>
          <w:bCs/>
          <w:sz w:val="32"/>
          <w:szCs w:val="32"/>
        </w:rPr>
        <w:sectPr>
          <w:pgSz w:w="11906" w:h="16838"/>
          <w:pgMar w:top="2098" w:right="1531" w:bottom="1984" w:left="1531" w:header="851" w:footer="992" w:gutter="0"/>
          <w:cols w:space="425" w:num="1"/>
          <w:docGrid w:type="lines" w:linePitch="312" w:charSpace="0"/>
        </w:sectPr>
      </w:pPr>
    </w:p>
    <w:p w14:paraId="31A00F8E">
      <w:pPr>
        <w:spacing w:line="560" w:lineRule="exact"/>
        <w:ind w:firstLine="640" w:firstLineChars="200"/>
        <w:rPr>
          <w:rFonts w:eastAsia="黑体"/>
          <w:bCs/>
          <w:sz w:val="32"/>
          <w:szCs w:val="32"/>
        </w:rPr>
      </w:pPr>
      <w:r>
        <w:rPr>
          <w:rFonts w:eastAsia="黑体"/>
          <w:bCs/>
          <w:sz w:val="32"/>
          <w:szCs w:val="32"/>
        </w:rPr>
        <w:t>一、基本情况</w:t>
      </w:r>
    </w:p>
    <w:p w14:paraId="1C61A65C">
      <w:pPr>
        <w:spacing w:line="560" w:lineRule="exact"/>
        <w:ind w:firstLine="643" w:firstLineChars="200"/>
        <w:rPr>
          <w:rFonts w:eastAsia="楷体_GB2312"/>
          <w:b/>
          <w:bCs/>
          <w:sz w:val="32"/>
          <w:szCs w:val="32"/>
        </w:rPr>
      </w:pPr>
      <w:r>
        <w:rPr>
          <w:rFonts w:eastAsia="楷体_GB2312"/>
          <w:b/>
          <w:bCs/>
          <w:sz w:val="32"/>
          <w:szCs w:val="32"/>
        </w:rPr>
        <w:t>（一）</w:t>
      </w:r>
      <w:bookmarkStart w:id="2" w:name="OLE_LINK5"/>
      <w:r>
        <w:rPr>
          <w:rFonts w:eastAsia="楷体_GB2312"/>
          <w:b/>
          <w:bCs/>
          <w:sz w:val="32"/>
          <w:szCs w:val="32"/>
        </w:rPr>
        <w:t>项目概况</w:t>
      </w:r>
    </w:p>
    <w:p w14:paraId="306391A0">
      <w:pPr>
        <w:spacing w:line="560" w:lineRule="exact"/>
        <w:ind w:firstLine="643" w:firstLineChars="200"/>
        <w:rPr>
          <w:rFonts w:eastAsia="仿宋_GB2312"/>
          <w:b/>
          <w:bCs/>
          <w:sz w:val="32"/>
          <w:szCs w:val="32"/>
        </w:rPr>
      </w:pPr>
      <w:r>
        <w:rPr>
          <w:rFonts w:eastAsia="仿宋_GB2312"/>
          <w:b/>
          <w:bCs/>
          <w:sz w:val="32"/>
          <w:szCs w:val="32"/>
        </w:rPr>
        <w:t>1.项目背景</w:t>
      </w:r>
    </w:p>
    <w:p w14:paraId="3A8FE5B7">
      <w:pPr>
        <w:pStyle w:val="10"/>
        <w:spacing w:before="0" w:after="0" w:line="560" w:lineRule="exact"/>
        <w:ind w:firstLine="640" w:firstLineChars="200"/>
        <w:jc w:val="both"/>
        <w:rPr>
          <w:rFonts w:ascii="Times New Roman" w:hAnsi="Times New Roman" w:eastAsia="仿宋_GB2312"/>
          <w:b w:val="0"/>
          <w:bCs w:val="0"/>
          <w:kern w:val="2"/>
        </w:rPr>
      </w:pPr>
      <w:r>
        <w:rPr>
          <w:rFonts w:hint="eastAsia" w:ascii="Times New Roman" w:hAnsi="Times New Roman" w:eastAsia="仿宋_GB2312"/>
          <w:b w:val="0"/>
          <w:bCs w:val="0"/>
          <w:kern w:val="2"/>
        </w:rPr>
        <w:t>随着国家对地方历史文化保护与传承工作的高度重视，以及全民文化自信心的不断增强，县级简史作为地方历史文化的重要载体，其编纂、评审与印刷出版工作显得尤为迫切和重要。县级简史不仅是对一个地区历史脉络的梳理与总结，更是传承地方文化、弘扬民族精神、促进文化交流与发展的重要途径。因此，启动县级简史评审与印刷项目，旨在深入挖掘县域内的历史文化资源，系统整理并广泛传播地方历史文化知识，为当地经济社会发展提供文化支撑和精神动力。</w:t>
      </w:r>
    </w:p>
    <w:p w14:paraId="22DD1BDD">
      <w:pPr>
        <w:pStyle w:val="10"/>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2.项目主要内容：</w:t>
      </w:r>
    </w:p>
    <w:p w14:paraId="68F93424">
      <w:pPr>
        <w:spacing w:line="560" w:lineRule="exact"/>
        <w:ind w:firstLine="640" w:firstLineChars="200"/>
        <w:rPr>
          <w:rFonts w:eastAsia="仿宋_GB2312"/>
          <w:sz w:val="32"/>
          <w:szCs w:val="32"/>
        </w:rPr>
      </w:pPr>
      <w:bookmarkStart w:id="3" w:name="OLE_LINK6"/>
      <w:r>
        <w:rPr>
          <w:rFonts w:hint="eastAsia" w:eastAsia="仿宋_GB2312"/>
          <w:sz w:val="32"/>
          <w:szCs w:val="32"/>
        </w:rPr>
        <w:t>《特克斯年鉴》（2023）出版发行所需编辑、制作、书号、审稿、排版、印刷、材料等经费 ；《中国共产党特克斯县简史》州级评审会所需会场租赁、参会评审专家食宿及评审资料等费用</w:t>
      </w:r>
      <w:r>
        <w:rPr>
          <w:rFonts w:eastAsia="仿宋_GB2312"/>
          <w:sz w:val="32"/>
          <w:szCs w:val="32"/>
        </w:rPr>
        <w:t>。</w:t>
      </w:r>
      <w:bookmarkEnd w:id="3"/>
    </w:p>
    <w:p w14:paraId="7FDB359E">
      <w:pPr>
        <w:spacing w:line="560" w:lineRule="exact"/>
        <w:ind w:firstLine="640" w:firstLineChars="200"/>
        <w:rPr>
          <w:rFonts w:eastAsia="仿宋_GB2312"/>
          <w:sz w:val="32"/>
          <w:szCs w:val="32"/>
        </w:rPr>
      </w:pPr>
      <w:r>
        <w:rPr>
          <w:rFonts w:eastAsia="仿宋_GB2312"/>
          <w:sz w:val="32"/>
          <w:szCs w:val="32"/>
        </w:rPr>
        <w:t>项目实施情况：</w:t>
      </w:r>
      <w:r>
        <w:rPr>
          <w:rFonts w:hint="eastAsia" w:eastAsia="仿宋_GB2312"/>
          <w:sz w:val="32"/>
          <w:szCs w:val="32"/>
        </w:rPr>
        <w:t>《特克斯年鉴》（2023）印刷83本，每本227元约1.88万元。《中国共产党特克斯县简史》州级评审会费用约1.16万元</w:t>
      </w:r>
      <w:r>
        <w:rPr>
          <w:rFonts w:eastAsia="仿宋_GB2312"/>
          <w:sz w:val="32"/>
          <w:szCs w:val="32"/>
        </w:rPr>
        <w:t>。</w:t>
      </w:r>
    </w:p>
    <w:p w14:paraId="652E68A3">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16D949AD">
      <w:pPr>
        <w:spacing w:line="600" w:lineRule="exact"/>
        <w:ind w:firstLine="640" w:firstLineChars="200"/>
        <w:outlineLvl w:val="0"/>
        <w:rPr>
          <w:rFonts w:eastAsia="仿宋_GB2312"/>
          <w:sz w:val="32"/>
          <w:szCs w:val="32"/>
        </w:rPr>
      </w:pPr>
      <w:r>
        <w:rPr>
          <w:rFonts w:eastAsia="仿宋_GB2312"/>
          <w:sz w:val="32"/>
          <w:szCs w:val="32"/>
        </w:rPr>
        <w:t>（1）资金投入情况</w:t>
      </w:r>
    </w:p>
    <w:p w14:paraId="629FED97">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3.04</w:t>
      </w:r>
      <w:r>
        <w:rPr>
          <w:rFonts w:eastAsia="仿宋_GB2312"/>
          <w:sz w:val="32"/>
          <w:szCs w:val="32"/>
        </w:rPr>
        <w:t>万元，全年预算数</w:t>
      </w:r>
      <w:r>
        <w:rPr>
          <w:rFonts w:hint="eastAsia" w:eastAsia="仿宋_GB2312"/>
          <w:sz w:val="32"/>
          <w:szCs w:val="32"/>
        </w:rPr>
        <w:t>3.04</w:t>
      </w:r>
      <w:r>
        <w:rPr>
          <w:rFonts w:eastAsia="仿宋_GB2312"/>
          <w:sz w:val="32"/>
          <w:szCs w:val="32"/>
        </w:rPr>
        <w:t>万元，该项目资金已全部落实到位，资金来源为</w:t>
      </w:r>
      <w:r>
        <w:rPr>
          <w:rFonts w:hint="eastAsia" w:eastAsia="仿宋_GB2312"/>
          <w:sz w:val="32"/>
          <w:szCs w:val="32"/>
        </w:rPr>
        <w:t>财政拨款</w:t>
      </w:r>
      <w:r>
        <w:rPr>
          <w:rFonts w:eastAsia="仿宋_GB2312"/>
          <w:sz w:val="32"/>
          <w:szCs w:val="32"/>
        </w:rPr>
        <w:t>。</w:t>
      </w:r>
    </w:p>
    <w:p w14:paraId="7C149833">
      <w:pPr>
        <w:spacing w:line="600" w:lineRule="exact"/>
        <w:ind w:firstLine="640" w:firstLineChars="200"/>
        <w:outlineLvl w:val="0"/>
        <w:rPr>
          <w:rFonts w:eastAsia="仿宋_GB2312"/>
          <w:sz w:val="32"/>
          <w:szCs w:val="32"/>
        </w:rPr>
      </w:pPr>
      <w:r>
        <w:rPr>
          <w:rFonts w:eastAsia="仿宋_GB2312"/>
          <w:sz w:val="32"/>
          <w:szCs w:val="32"/>
        </w:rPr>
        <w:t>（2）资金使用情况</w:t>
      </w:r>
    </w:p>
    <w:p w14:paraId="204DDEAB">
      <w:pPr>
        <w:spacing w:line="600" w:lineRule="exact"/>
        <w:ind w:firstLine="640" w:firstLineChars="200"/>
        <w:outlineLvl w:val="0"/>
        <w:rPr>
          <w:rFonts w:eastAsia="仿宋_GB2312"/>
          <w:sz w:val="32"/>
          <w:szCs w:val="32"/>
        </w:rPr>
      </w:pPr>
      <w:r>
        <w:rPr>
          <w:rFonts w:eastAsia="仿宋_GB2312"/>
          <w:sz w:val="32"/>
          <w:szCs w:val="32"/>
        </w:rPr>
        <w:t>该项目年初预算数</w:t>
      </w:r>
      <w:r>
        <w:rPr>
          <w:rFonts w:hint="eastAsia" w:eastAsia="仿宋_GB2312"/>
          <w:sz w:val="32"/>
          <w:szCs w:val="32"/>
        </w:rPr>
        <w:t>3.04</w:t>
      </w:r>
      <w:r>
        <w:rPr>
          <w:rFonts w:eastAsia="仿宋_GB2312"/>
          <w:sz w:val="32"/>
          <w:szCs w:val="32"/>
        </w:rPr>
        <w:t>万元，全年预算数</w:t>
      </w:r>
      <w:r>
        <w:rPr>
          <w:rFonts w:hint="eastAsia" w:eastAsia="仿宋_GB2312"/>
          <w:sz w:val="32"/>
          <w:szCs w:val="32"/>
        </w:rPr>
        <w:t>3.04</w:t>
      </w:r>
      <w:r>
        <w:rPr>
          <w:rFonts w:eastAsia="仿宋_GB2312"/>
          <w:sz w:val="32"/>
          <w:szCs w:val="32"/>
        </w:rPr>
        <w:t>万元</w:t>
      </w:r>
      <w:r>
        <w:rPr>
          <w:rFonts w:hint="eastAsia" w:eastAsia="仿宋_GB2312"/>
          <w:sz w:val="32"/>
          <w:szCs w:val="32"/>
        </w:rPr>
        <w:t>，</w:t>
      </w:r>
      <w:r>
        <w:rPr>
          <w:rFonts w:eastAsia="仿宋_GB2312"/>
          <w:sz w:val="32"/>
          <w:szCs w:val="32"/>
        </w:rPr>
        <w:t>全年执行数</w:t>
      </w:r>
      <w:r>
        <w:rPr>
          <w:rFonts w:hint="eastAsia" w:eastAsia="仿宋_GB2312"/>
          <w:sz w:val="32"/>
          <w:szCs w:val="32"/>
        </w:rPr>
        <w:t>3.04</w:t>
      </w:r>
      <w:r>
        <w:rPr>
          <w:rFonts w:eastAsia="仿宋_GB2312"/>
          <w:sz w:val="32"/>
          <w:szCs w:val="32"/>
        </w:rPr>
        <w:t>万元，预算执行率为</w:t>
      </w:r>
      <w:r>
        <w:rPr>
          <w:rFonts w:hint="eastAsia" w:eastAsia="仿宋_GB2312"/>
          <w:sz w:val="32"/>
          <w:szCs w:val="32"/>
        </w:rPr>
        <w:t>100</w:t>
      </w:r>
      <w:r>
        <w:rPr>
          <w:rFonts w:eastAsia="仿宋_GB2312"/>
          <w:sz w:val="32"/>
          <w:szCs w:val="32"/>
        </w:rPr>
        <w:t>%（预算执行率=全年执行数/全年预算数），主要用于：</w:t>
      </w:r>
      <w:r>
        <w:rPr>
          <w:rFonts w:hint="eastAsia" w:eastAsia="仿宋_GB2312"/>
          <w:sz w:val="32"/>
          <w:szCs w:val="32"/>
        </w:rPr>
        <w:t>《中国共产党特克斯县简史》评审与《特克斯县年鉴（2023）》出版印刷</w:t>
      </w:r>
      <w:r>
        <w:rPr>
          <w:rFonts w:eastAsia="仿宋_GB2312"/>
          <w:sz w:val="32"/>
          <w:szCs w:val="32"/>
        </w:rPr>
        <w:t>。</w:t>
      </w:r>
      <w:bookmarkEnd w:id="2"/>
    </w:p>
    <w:p w14:paraId="01A756D9">
      <w:pPr>
        <w:spacing w:line="560" w:lineRule="exact"/>
        <w:ind w:firstLine="643" w:firstLineChars="200"/>
        <w:rPr>
          <w:rFonts w:eastAsia="楷体_GB2312"/>
          <w:b/>
          <w:bCs/>
          <w:sz w:val="32"/>
          <w:szCs w:val="32"/>
        </w:rPr>
      </w:pPr>
      <w:r>
        <w:rPr>
          <w:rFonts w:eastAsia="楷体_GB2312"/>
          <w:b/>
          <w:bCs/>
          <w:sz w:val="32"/>
          <w:szCs w:val="32"/>
        </w:rPr>
        <w:t>（二）</w:t>
      </w:r>
      <w:bookmarkStart w:id="4" w:name="OLE_LINK11"/>
      <w:r>
        <w:rPr>
          <w:rFonts w:eastAsia="楷体_GB2312"/>
          <w:b/>
          <w:bCs/>
          <w:sz w:val="32"/>
          <w:szCs w:val="32"/>
        </w:rPr>
        <w:t>项目绩效目标</w:t>
      </w:r>
    </w:p>
    <w:p w14:paraId="6C397D55">
      <w:pPr>
        <w:spacing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16AF81BB">
      <w:pPr>
        <w:spacing w:line="560" w:lineRule="exact"/>
        <w:ind w:firstLine="640" w:firstLineChars="200"/>
        <w:rPr>
          <w:rFonts w:hint="eastAsia" w:eastAsia="仿宋_GB2312"/>
          <w:sz w:val="32"/>
          <w:szCs w:val="32"/>
          <w:highlight w:val="none"/>
        </w:rPr>
      </w:pPr>
      <w:r>
        <w:rPr>
          <w:rFonts w:hint="eastAsia" w:eastAsia="仿宋_GB2312"/>
          <w:sz w:val="32"/>
          <w:szCs w:val="32"/>
          <w:highlight w:val="none"/>
        </w:rPr>
        <w:t>实时记载和反映党的执政历史。通过《特克斯年鉴》（2023）出版史志书籍的出版，为全县各党政机关学习党史和地方志提供知识载体，进一步强化党员干部群众对党史和地方史知识的学习。</w:t>
      </w:r>
    </w:p>
    <w:p w14:paraId="6D588D2B">
      <w:pPr>
        <w:spacing w:line="560" w:lineRule="exact"/>
        <w:ind w:firstLine="640" w:firstLineChars="200"/>
        <w:rPr>
          <w:rFonts w:eastAsia="仿宋_GB2312"/>
          <w:sz w:val="32"/>
          <w:szCs w:val="32"/>
        </w:rPr>
      </w:pPr>
      <w:r>
        <w:rPr>
          <w:rFonts w:eastAsia="仿宋_GB2312"/>
          <w:sz w:val="32"/>
          <w:szCs w:val="32"/>
        </w:rPr>
        <w:t>2</w:t>
      </w:r>
      <w:r>
        <w:rPr>
          <w:rFonts w:eastAsia="仿宋_GB2312"/>
          <w:b/>
          <w:bCs/>
          <w:sz w:val="32"/>
          <w:szCs w:val="32"/>
        </w:rPr>
        <w:t>.</w:t>
      </w:r>
      <w:r>
        <w:rPr>
          <w:rFonts w:eastAsia="仿宋_GB2312"/>
          <w:sz w:val="32"/>
          <w:szCs w:val="32"/>
        </w:rPr>
        <w:t>阶段性目标</w:t>
      </w:r>
    </w:p>
    <w:p w14:paraId="3B3E082F">
      <w:pPr>
        <w:spacing w:line="560" w:lineRule="exact"/>
        <w:ind w:firstLine="640" w:firstLineChars="200"/>
        <w:rPr>
          <w:rFonts w:hint="eastAsia" w:eastAsia="仿宋_GB2312"/>
          <w:sz w:val="32"/>
          <w:szCs w:val="32"/>
          <w:highlight w:val="none"/>
          <w:lang w:eastAsia="zh-CN"/>
        </w:rPr>
      </w:pPr>
      <w:r>
        <w:rPr>
          <w:rFonts w:hint="eastAsia" w:eastAsia="仿宋_GB2312"/>
          <w:sz w:val="32"/>
          <w:szCs w:val="32"/>
          <w:highlight w:val="none"/>
          <w:lang w:eastAsia="zh-CN"/>
        </w:rPr>
        <w:t>上半年</w:t>
      </w:r>
      <w:r>
        <w:rPr>
          <w:rFonts w:hint="eastAsia" w:eastAsia="仿宋_GB2312"/>
          <w:sz w:val="32"/>
          <w:szCs w:val="32"/>
          <w:highlight w:val="none"/>
        </w:rPr>
        <w:t>完成《中国共产党特克斯简史》的评审</w:t>
      </w:r>
      <w:r>
        <w:rPr>
          <w:rFonts w:hint="eastAsia" w:eastAsia="仿宋_GB2312"/>
          <w:sz w:val="32"/>
          <w:szCs w:val="32"/>
          <w:highlight w:val="none"/>
          <w:lang w:eastAsia="zh-CN"/>
        </w:rPr>
        <w:t>；</w:t>
      </w:r>
    </w:p>
    <w:p w14:paraId="471E2D3A">
      <w:pPr>
        <w:spacing w:line="560" w:lineRule="exact"/>
        <w:ind w:firstLine="640" w:firstLineChars="200"/>
        <w:rPr>
          <w:rFonts w:hint="eastAsia" w:eastAsia="仿宋_GB2312"/>
          <w:sz w:val="32"/>
          <w:szCs w:val="32"/>
          <w:highlight w:val="none"/>
          <w:lang w:eastAsia="zh-CN"/>
        </w:rPr>
      </w:pPr>
      <w:r>
        <w:rPr>
          <w:rFonts w:hint="eastAsia" w:eastAsia="仿宋_GB2312"/>
          <w:sz w:val="32"/>
          <w:szCs w:val="32"/>
          <w:highlight w:val="none"/>
          <w:lang w:eastAsia="zh-CN"/>
        </w:rPr>
        <w:t>下半年完成</w:t>
      </w:r>
      <w:r>
        <w:rPr>
          <w:rFonts w:hint="eastAsia" w:eastAsia="仿宋_GB2312"/>
          <w:sz w:val="32"/>
          <w:szCs w:val="32"/>
          <w:highlight w:val="none"/>
        </w:rPr>
        <w:t>《特克斯年鉴》（2023）出版83本，有效利用书籍为全县各党政机关学习党史和地方志提供知识载体进行党史和地方史学习</w:t>
      </w:r>
      <w:r>
        <w:rPr>
          <w:rFonts w:hint="eastAsia" w:eastAsia="仿宋_GB2312"/>
          <w:sz w:val="32"/>
          <w:szCs w:val="32"/>
          <w:highlight w:val="none"/>
          <w:lang w:eastAsia="zh-CN"/>
        </w:rPr>
        <w:t>。</w:t>
      </w:r>
      <w:bookmarkEnd w:id="4"/>
    </w:p>
    <w:p w14:paraId="1583CA2F">
      <w:pPr>
        <w:spacing w:line="560" w:lineRule="exact"/>
        <w:ind w:firstLine="640" w:firstLineChars="200"/>
        <w:rPr>
          <w:rFonts w:eastAsia="黑体"/>
          <w:sz w:val="32"/>
          <w:szCs w:val="32"/>
        </w:rPr>
      </w:pPr>
      <w:r>
        <w:rPr>
          <w:rFonts w:eastAsia="黑体"/>
          <w:sz w:val="32"/>
          <w:szCs w:val="32"/>
        </w:rPr>
        <w:t>二、绩效评价工作开展情况</w:t>
      </w:r>
    </w:p>
    <w:p w14:paraId="41BFA1F7">
      <w:pPr>
        <w:spacing w:line="560" w:lineRule="exact"/>
        <w:ind w:firstLine="643" w:firstLineChars="200"/>
        <w:rPr>
          <w:rFonts w:eastAsia="楷体_GB2312"/>
          <w:b/>
          <w:bCs/>
          <w:sz w:val="32"/>
          <w:szCs w:val="32"/>
        </w:rPr>
      </w:pPr>
      <w:r>
        <w:rPr>
          <w:rFonts w:eastAsia="楷体_GB2312"/>
          <w:b/>
          <w:bCs/>
          <w:sz w:val="32"/>
          <w:szCs w:val="32"/>
        </w:rPr>
        <w:t>（一）</w:t>
      </w:r>
      <w:bookmarkStart w:id="5" w:name="OLE_LINK16"/>
      <w:r>
        <w:rPr>
          <w:rFonts w:eastAsia="楷体_GB2312"/>
          <w:b/>
          <w:bCs/>
          <w:sz w:val="32"/>
          <w:szCs w:val="32"/>
        </w:rPr>
        <w:t>绩效评价目的、对象和范围</w:t>
      </w:r>
    </w:p>
    <w:p w14:paraId="4CFC3A47">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1.绩效评价完整性</w:t>
      </w:r>
    </w:p>
    <w:p w14:paraId="0762F462">
      <w:pPr>
        <w:spacing w:line="560" w:lineRule="exact"/>
        <w:ind w:firstLine="640" w:firstLineChars="20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4DD1638E">
      <w:pPr>
        <w:spacing w:line="560" w:lineRule="exact"/>
        <w:ind w:firstLine="640" w:firstLineChars="200"/>
        <w:rPr>
          <w:rFonts w:eastAsia="仿宋_GB2312"/>
          <w:sz w:val="32"/>
          <w:szCs w:val="32"/>
        </w:rPr>
      </w:pPr>
      <w:r>
        <w:rPr>
          <w:rFonts w:eastAsia="仿宋_GB2312"/>
          <w:sz w:val="32"/>
          <w:szCs w:val="32"/>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240DDCAD">
      <w:pPr>
        <w:spacing w:line="560" w:lineRule="exact"/>
        <w:ind w:firstLine="640" w:firstLineChars="200"/>
        <w:rPr>
          <w:rFonts w:eastAsia="仿宋_GB2312"/>
          <w:sz w:val="32"/>
          <w:szCs w:val="32"/>
        </w:rPr>
      </w:pPr>
      <w:r>
        <w:rPr>
          <w:rFonts w:eastAsia="仿宋_GB2312"/>
          <w:sz w:val="32"/>
          <w:szCs w:val="32"/>
        </w:rPr>
        <w:t>在数据收集与分析环节，采用了多种科学合理的方法，如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1FF235C4">
      <w:pPr>
        <w:spacing w:line="560" w:lineRule="exact"/>
        <w:ind w:firstLine="640" w:firstLineChars="20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6FC9AF4B">
      <w:pPr>
        <w:spacing w:line="560" w:lineRule="exact"/>
        <w:ind w:firstLine="640" w:firstLineChars="20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1C3E9D3">
      <w:pPr>
        <w:spacing w:line="560" w:lineRule="exact"/>
        <w:ind w:firstLine="640" w:firstLineChars="200"/>
        <w:rPr>
          <w:rFonts w:eastAsia="仿宋_GB2312"/>
          <w:sz w:val="32"/>
          <w:szCs w:val="32"/>
        </w:rPr>
      </w:pPr>
      <w:r>
        <w:rPr>
          <w:rFonts w:eastAsia="仿宋_GB2312"/>
          <w:sz w:val="32"/>
          <w:szCs w:val="32"/>
        </w:rPr>
        <w:t>2.绩效评价的目的</w:t>
      </w:r>
    </w:p>
    <w:p w14:paraId="5873839E">
      <w:pPr>
        <w:spacing w:line="560" w:lineRule="exact"/>
        <w:ind w:firstLine="640" w:firstLineChars="200"/>
        <w:rPr>
          <w:rFonts w:eastAsia="仿宋_GB2312"/>
          <w:sz w:val="32"/>
          <w:szCs w:val="32"/>
        </w:rPr>
      </w:pPr>
      <w:r>
        <w:rPr>
          <w:rFonts w:eastAsia="仿宋_GB2312"/>
          <w:sz w:val="32"/>
          <w:szCs w:val="32"/>
        </w:rPr>
        <w:t>（1）评估项目实施效果</w:t>
      </w:r>
    </w:p>
    <w:p w14:paraId="41EFBE01">
      <w:pPr>
        <w:spacing w:line="560" w:lineRule="exact"/>
        <w:ind w:firstLine="640" w:firstLineChars="20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通过对项目预算执行情况及各项绩效目标达成程度的系统性分析，全面、客观地评估项目在预定周期内的实施效果，包括经济效益、社会效益等多维度指标，为项目后续的改进与优化提供科学依据。</w:t>
      </w:r>
    </w:p>
    <w:p w14:paraId="74630387">
      <w:pPr>
        <w:spacing w:line="560" w:lineRule="exact"/>
        <w:ind w:firstLine="640" w:firstLineChars="200"/>
        <w:rPr>
          <w:rFonts w:eastAsia="仿宋_GB2312"/>
          <w:sz w:val="32"/>
          <w:szCs w:val="32"/>
        </w:rPr>
      </w:pPr>
      <w:r>
        <w:rPr>
          <w:rFonts w:eastAsia="仿宋_GB2312"/>
          <w:sz w:val="32"/>
          <w:szCs w:val="32"/>
        </w:rPr>
        <w:t>（2）提升资源利用效率</w:t>
      </w:r>
    </w:p>
    <w:p w14:paraId="6EB48141">
      <w:pPr>
        <w:spacing w:line="560" w:lineRule="exact"/>
        <w:ind w:firstLine="640" w:firstLineChars="20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B7D6F2D">
      <w:pPr>
        <w:spacing w:line="560" w:lineRule="exact"/>
        <w:ind w:firstLine="640" w:firstLineChars="200"/>
        <w:rPr>
          <w:rFonts w:eastAsia="仿宋_GB2312"/>
          <w:sz w:val="32"/>
          <w:szCs w:val="32"/>
        </w:rPr>
      </w:pPr>
      <w:r>
        <w:rPr>
          <w:rFonts w:eastAsia="仿宋_GB2312"/>
          <w:sz w:val="32"/>
          <w:szCs w:val="32"/>
        </w:rPr>
        <w:t>（3）强化项目管理责任</w:t>
      </w:r>
    </w:p>
    <w:p w14:paraId="0890198F">
      <w:pPr>
        <w:spacing w:line="560" w:lineRule="exact"/>
        <w:ind w:firstLine="640" w:firstLineChars="20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76F95E0E">
      <w:pPr>
        <w:spacing w:line="560" w:lineRule="exact"/>
        <w:ind w:firstLine="640" w:firstLineChars="200"/>
        <w:rPr>
          <w:rFonts w:eastAsia="仿宋_GB2312"/>
          <w:sz w:val="32"/>
          <w:szCs w:val="32"/>
        </w:rPr>
      </w:pPr>
      <w:r>
        <w:rPr>
          <w:rFonts w:eastAsia="仿宋_GB2312"/>
          <w:sz w:val="32"/>
          <w:szCs w:val="32"/>
        </w:rPr>
        <w:t>（4）为决策提供支持</w:t>
      </w:r>
    </w:p>
    <w:p w14:paraId="009054DA">
      <w:pPr>
        <w:spacing w:line="560" w:lineRule="exact"/>
        <w:ind w:firstLine="640" w:firstLineChars="20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2F4D66C">
      <w:pPr>
        <w:spacing w:line="560" w:lineRule="exact"/>
        <w:ind w:firstLine="640" w:firstLineChars="200"/>
        <w:rPr>
          <w:rFonts w:eastAsia="仿宋_GB2312"/>
          <w:sz w:val="32"/>
          <w:szCs w:val="32"/>
        </w:rPr>
      </w:pPr>
      <w:r>
        <w:rPr>
          <w:rFonts w:eastAsia="仿宋_GB2312"/>
          <w:sz w:val="32"/>
          <w:szCs w:val="32"/>
        </w:rPr>
        <w:t>（5）促进项目持续改进</w:t>
      </w:r>
    </w:p>
    <w:p w14:paraId="483816D3">
      <w:pPr>
        <w:spacing w:line="560" w:lineRule="exact"/>
        <w:ind w:firstLine="640" w:firstLineChars="20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66CE3150">
      <w:pPr>
        <w:spacing w:line="560" w:lineRule="exact"/>
        <w:ind w:firstLine="640" w:firstLineChars="20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74BA18D0">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ascii="Times New Roman" w:hAnsi="Times New Roman" w:eastAsia="仿宋_GB2312"/>
        </w:rPr>
        <w:t>.</w:t>
      </w:r>
      <w:r>
        <w:rPr>
          <w:rFonts w:ascii="Times New Roman" w:hAnsi="Times New Roman" w:eastAsia="仿宋_GB2312"/>
          <w:b w:val="0"/>
          <w:bCs w:val="0"/>
        </w:rPr>
        <w:t>绩效评价的对象</w:t>
      </w:r>
    </w:p>
    <w:p w14:paraId="1380ADE7">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本项目预算绩效评价报告的评价对象是</w:t>
      </w:r>
      <w:bookmarkStart w:id="6" w:name="OLE_LINK4"/>
      <w:r>
        <w:rPr>
          <w:rFonts w:ascii="Times New Roman" w:hAnsi="Times New Roman" w:eastAsia="仿宋_GB2312"/>
          <w:b w:val="0"/>
          <w:bCs w:val="0"/>
        </w:rPr>
        <w:t>《中国共产党特克斯县简史》评审与《特克斯年鉴（2023）》出版印刷</w:t>
      </w:r>
      <w:bookmarkEnd w:id="6"/>
      <w:r>
        <w:rPr>
          <w:rFonts w:ascii="Times New Roman" w:hAnsi="Times New Roman" w:eastAsia="仿宋_GB2312"/>
          <w:b w:val="0"/>
          <w:bCs w:val="0"/>
        </w:rPr>
        <w:t>经费（本级）及其预算执行情况。该项目由</w:t>
      </w:r>
      <w:r>
        <w:rPr>
          <w:rFonts w:hint="eastAsia" w:ascii="Times New Roman" w:hAnsi="Times New Roman" w:eastAsia="仿宋_GB2312"/>
          <w:b w:val="0"/>
          <w:bCs w:val="0"/>
        </w:rPr>
        <w:t>特克斯县委史志办公室</w:t>
      </w:r>
      <w:r>
        <w:rPr>
          <w:rFonts w:ascii="Times New Roman" w:hAnsi="Times New Roman" w:eastAsia="仿宋_GB2312"/>
          <w:b w:val="0"/>
          <w:bCs w:val="0"/>
        </w:rPr>
        <w:t>负责实施，旨在</w:t>
      </w:r>
      <w:r>
        <w:rPr>
          <w:rFonts w:hint="eastAsia" w:ascii="Times New Roman" w:hAnsi="Times New Roman" w:eastAsia="仿宋_GB2312"/>
          <w:b w:val="0"/>
          <w:bCs w:val="0"/>
        </w:rPr>
        <w:t>完成</w:t>
      </w:r>
      <w:r>
        <w:rPr>
          <w:rFonts w:ascii="Times New Roman" w:hAnsi="Times New Roman" w:eastAsia="仿宋_GB2312"/>
          <w:b w:val="0"/>
          <w:bCs w:val="0"/>
        </w:rPr>
        <w:t>《中国共产党特克斯县简史》评审与《特克斯年鉴（2023）》出版印刷。项目预算涵盖从</w:t>
      </w:r>
      <w:r>
        <w:rPr>
          <w:rFonts w:hint="eastAsia" w:ascii="Times New Roman" w:hAnsi="Times New Roman" w:eastAsia="仿宋_GB2312"/>
          <w:b w:val="0"/>
          <w:bCs w:val="0"/>
        </w:rPr>
        <w:t>2023年11月</w:t>
      </w:r>
      <w:r>
        <w:rPr>
          <w:rFonts w:ascii="Times New Roman" w:hAnsi="Times New Roman" w:eastAsia="仿宋_GB2312"/>
          <w:b w:val="0"/>
          <w:bCs w:val="0"/>
        </w:rPr>
        <w:t>至</w:t>
      </w:r>
      <w:r>
        <w:rPr>
          <w:rFonts w:hint="eastAsia" w:ascii="Times New Roman" w:hAnsi="Times New Roman" w:eastAsia="仿宋_GB2312"/>
          <w:b w:val="0"/>
          <w:bCs w:val="0"/>
        </w:rPr>
        <w:t>2024年3月</w:t>
      </w:r>
      <w:r>
        <w:rPr>
          <w:rFonts w:ascii="Times New Roman" w:hAnsi="Times New Roman" w:eastAsia="仿宋_GB2312"/>
          <w:b w:val="0"/>
          <w:bCs w:val="0"/>
        </w:rPr>
        <w:t>的全部资金投入与支出，涉及资金总额为</w:t>
      </w:r>
      <w:r>
        <w:rPr>
          <w:rFonts w:hint="eastAsia" w:ascii="Times New Roman" w:hAnsi="Times New Roman" w:eastAsia="仿宋_GB2312"/>
          <w:b w:val="0"/>
          <w:bCs w:val="0"/>
        </w:rPr>
        <w:t>3.04</w:t>
      </w:r>
      <w:r>
        <w:rPr>
          <w:rFonts w:ascii="Times New Roman" w:hAnsi="Times New Roman" w:eastAsia="仿宋_GB2312"/>
          <w:b w:val="0"/>
          <w:bCs w:val="0"/>
        </w:rPr>
        <w:t>万元。</w:t>
      </w:r>
    </w:p>
    <w:p w14:paraId="5476FCFF">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4.绩效评价的范围</w:t>
      </w:r>
    </w:p>
    <w:p w14:paraId="7BA9EEC6">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本项目预算绩效评价报告的评价范围广泛而全面，涵盖了从项目立项至评价时点期间的所有关键预算活动和财务流程。具体而言，评价范围包括但不限于以下几个方面：</w:t>
      </w:r>
    </w:p>
    <w:p w14:paraId="7D2815E7">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项目预算编制与执行：全面审视项目预算的编制依据、合理性、科学性以及实际执行情况，包括预算调整的原因和效果。</w:t>
      </w:r>
    </w:p>
    <w:p w14:paraId="2C466E2D">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资金管理：深入分析项目资金的分配、使用和监管情况，确保资金使用的合规性、高效性和透明度。</w:t>
      </w:r>
    </w:p>
    <w:p w14:paraId="16DE2A18">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项目实施进度与产出：评估项目是否按照既定计划顺利推进，各项任务是否按时完成，以及项目产出的数量、质量和时效性是否符合预期。</w:t>
      </w:r>
    </w:p>
    <w:p w14:paraId="2AF2E8D6">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社会影响：</w:t>
      </w:r>
      <w:bookmarkStart w:id="7" w:name="OLE_LINK10"/>
      <w:r>
        <w:rPr>
          <w:rFonts w:hint="eastAsia" w:ascii="Times New Roman" w:hAnsi="Times New Roman" w:eastAsia="仿宋_GB2312"/>
          <w:b w:val="0"/>
          <w:bCs w:val="0"/>
        </w:rPr>
        <w:t>加快推进《中国共产党特克斯县简史》的编撰出版，《特克斯年鉴（2023）》发挥存史资政作用</w:t>
      </w:r>
      <w:bookmarkEnd w:id="7"/>
      <w:r>
        <w:rPr>
          <w:rFonts w:hint="eastAsia" w:ascii="Times New Roman" w:hAnsi="Times New Roman" w:eastAsia="仿宋_GB2312"/>
          <w:b w:val="0"/>
          <w:bCs w:val="0"/>
        </w:rPr>
        <w:t>。</w:t>
      </w:r>
      <w:bookmarkEnd w:id="5"/>
    </w:p>
    <w:p w14:paraId="08CAF84F">
      <w:pPr>
        <w:pStyle w:val="10"/>
        <w:widowControl w:val="0"/>
        <w:spacing w:before="0" w:after="0" w:line="560" w:lineRule="exact"/>
        <w:ind w:firstLine="643" w:firstLineChars="200"/>
        <w:jc w:val="both"/>
        <w:outlineLvl w:val="9"/>
        <w:rPr>
          <w:rFonts w:ascii="Times New Roman" w:hAnsi="Times New Roman" w:eastAsia="楷体_GB2312"/>
          <w:kern w:val="2"/>
        </w:rPr>
      </w:pPr>
      <w:r>
        <w:rPr>
          <w:rFonts w:ascii="Times New Roman" w:hAnsi="Times New Roman" w:eastAsia="楷体_GB2312"/>
          <w:kern w:val="2"/>
        </w:rPr>
        <w:t>（二）</w:t>
      </w:r>
      <w:bookmarkStart w:id="8" w:name="OLE_LINK17"/>
      <w:r>
        <w:rPr>
          <w:rFonts w:ascii="Times New Roman" w:hAnsi="Times New Roman" w:eastAsia="楷体_GB2312"/>
          <w:kern w:val="2"/>
        </w:rPr>
        <w:t>绩效评价原则、评价指标体系（详情见表1）、评价方法、评价标准。</w:t>
      </w:r>
    </w:p>
    <w:p w14:paraId="4B394B20">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p>
    <w:p w14:paraId="1AF0B66B">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3EA7C981">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168C24CC">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55C1BE8D">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49B4AC10">
      <w:pPr>
        <w:pStyle w:val="1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32CD9CDC">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p>
    <w:p w14:paraId="0C5D52C9">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7CEC92D6">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6A0E3876">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04C15C7A">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5FB81B2F">
      <w:pPr>
        <w:spacing w:line="560" w:lineRule="exact"/>
        <w:ind w:firstLine="708" w:firstLineChars="200"/>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分，项目过程权重为20分，项目产出权重为40分，项目效益权重为20分。</w:t>
      </w:r>
    </w:p>
    <w:p w14:paraId="026FB25E">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3A63B07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9A2FE02">
      <w:pPr>
        <w:pStyle w:val="10"/>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w:t>
      </w:r>
      <w:r>
        <w:rPr>
          <w:rFonts w:hint="eastAsia" w:ascii="Times New Roman" w:hAnsi="Times New Roman" w:eastAsia="仿宋_GB2312"/>
          <w:b w:val="0"/>
          <w:bCs w:val="0"/>
          <w:color w:val="000000"/>
          <w:spacing w:val="17"/>
          <w:kern w:val="2"/>
        </w:rPr>
        <w:t>100</w:t>
      </w:r>
      <w:r>
        <w:rPr>
          <w:rFonts w:ascii="Times New Roman" w:hAnsi="Times New Roman" w:eastAsia="仿宋_GB2312"/>
          <w:b w:val="0"/>
          <w:bCs w:val="0"/>
          <w:color w:val="000000"/>
          <w:spacing w:val="17"/>
          <w:kern w:val="2"/>
        </w:rPr>
        <w:t>分，根据综合评分结果，90（含）-100分为优、80（含）-90分为良、60（含）-80分为中、60分以下为差。</w:t>
      </w:r>
    </w:p>
    <w:p w14:paraId="1C7A37E2">
      <w:pPr>
        <w:pStyle w:val="10"/>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1306EEA4">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1C5E5920">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7F58E739">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512D1C53">
      <w:pPr>
        <w:spacing w:line="560" w:lineRule="exact"/>
        <w:ind w:firstLine="708" w:firstLineChars="200"/>
        <w:rPr>
          <w:rFonts w:eastAsia="仿宋_GB2312"/>
          <w:color w:val="000000"/>
          <w:spacing w:val="17"/>
          <w:sz w:val="32"/>
          <w:szCs w:val="32"/>
          <w:highlight w:val="yellow"/>
        </w:rPr>
      </w:pPr>
      <w:r>
        <w:rPr>
          <w:rFonts w:eastAsia="仿宋_GB2312"/>
          <w:color w:val="000000"/>
          <w:spacing w:val="17"/>
          <w:sz w:val="32"/>
          <w:szCs w:val="32"/>
          <w:highlight w:val="none"/>
        </w:rPr>
        <w:t>（</w:t>
      </w:r>
      <w:r>
        <w:rPr>
          <w:rFonts w:hint="eastAsia" w:eastAsia="仿宋_GB2312"/>
          <w:color w:val="000000"/>
          <w:spacing w:val="17"/>
          <w:sz w:val="32"/>
          <w:szCs w:val="32"/>
          <w:highlight w:val="none"/>
          <w:lang w:eastAsia="zh-CN"/>
        </w:rPr>
        <w:t>一</w:t>
      </w:r>
      <w:r>
        <w:rPr>
          <w:rFonts w:eastAsia="仿宋_GB2312"/>
          <w:color w:val="000000"/>
          <w:spacing w:val="17"/>
          <w:sz w:val="32"/>
          <w:szCs w:val="32"/>
          <w:highlight w:val="none"/>
        </w:rPr>
        <w:t>）因素分析法。</w:t>
      </w:r>
      <w:r>
        <w:rPr>
          <w:rFonts w:hint="default" w:ascii="Times New Roman" w:hAnsi="Times New Roman" w:eastAsia="仿宋_GB2312" w:cs="Times New Roman"/>
          <w:color w:val="000000"/>
          <w:spacing w:val="17"/>
          <w:sz w:val="32"/>
          <w:szCs w:val="32"/>
        </w:rPr>
        <w:t>是指综合分析影响绩效目标实现、实施效果的内外部因素的方法。</w:t>
      </w:r>
      <w:r>
        <w:rPr>
          <w:rFonts w:hint="eastAsia" w:eastAsia="仿宋_GB2312" w:cs="Times New Roman"/>
          <w:color w:val="000000"/>
          <w:spacing w:val="17"/>
          <w:sz w:val="32"/>
          <w:szCs w:val="32"/>
          <w:lang w:val="en-US" w:eastAsia="zh-CN"/>
        </w:rPr>
        <w:t>主要是可以深入分析经济现象或结果背后的原因，明确哪些因素对特定变量产生影响，以及影响的方向和程度，帮助研究或决策者理解事物发展变化的内在机制。</w:t>
      </w:r>
    </w:p>
    <w:p w14:paraId="6AE14E86">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p>
    <w:p w14:paraId="0D90BB7B">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绩效评价标准通常包括计划标准、行业标准、历史标准等，用于对绩效指标完成情况进行比较、分析、评价。本次评价主要采用了计划标准。</w:t>
      </w:r>
    </w:p>
    <w:p w14:paraId="628462DF">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bookmarkStart w:id="9" w:name="OLE_LINK7"/>
      <w:r>
        <w:rPr>
          <w:rFonts w:ascii="Times New Roman" w:hAnsi="Times New Roman" w:eastAsia="仿宋_GB2312"/>
          <w:b w:val="0"/>
          <w:bCs w:val="0"/>
        </w:rPr>
        <w:t>计划</w:t>
      </w:r>
      <w:bookmarkEnd w:id="9"/>
      <w:r>
        <w:rPr>
          <w:rFonts w:ascii="Times New Roman" w:hAnsi="Times New Roman" w:eastAsia="仿宋_GB2312"/>
          <w:b w:val="0"/>
          <w:bCs w:val="0"/>
        </w:rPr>
        <w:t>标准。指以预先制定的目标、计划、预算、定额等作为评价标准。</w:t>
      </w:r>
      <w:bookmarkEnd w:id="8"/>
    </w:p>
    <w:p w14:paraId="597173DF">
      <w:pPr>
        <w:pStyle w:val="10"/>
        <w:numPr>
          <w:ilvl w:val="0"/>
          <w:numId w:val="2"/>
        </w:numPr>
        <w:spacing w:before="0" w:after="0" w:line="560" w:lineRule="exact"/>
        <w:ind w:firstLine="711" w:firstLineChars="200"/>
        <w:jc w:val="both"/>
        <w:rPr>
          <w:rFonts w:ascii="Times New Roman" w:hAnsi="Times New Roman" w:eastAsia="楷体"/>
          <w:color w:val="000000"/>
          <w:spacing w:val="17"/>
        </w:rPr>
      </w:pPr>
      <w:r>
        <w:rPr>
          <w:rFonts w:ascii="Times New Roman" w:hAnsi="Times New Roman" w:eastAsia="楷体"/>
          <w:color w:val="000000"/>
          <w:spacing w:val="17"/>
        </w:rPr>
        <w:t>绩效评价工作过程</w:t>
      </w:r>
    </w:p>
    <w:p w14:paraId="329E9AA5">
      <w:pPr>
        <w:spacing w:line="560" w:lineRule="exact"/>
        <w:ind w:firstLine="640" w:firstLineChars="200"/>
        <w:rPr>
          <w:rFonts w:eastAsia="仿宋_GB2312"/>
          <w:kern w:val="28"/>
          <w:sz w:val="32"/>
          <w:szCs w:val="32"/>
        </w:rPr>
      </w:pPr>
      <w:r>
        <w:rPr>
          <w:rFonts w:eastAsia="仿宋_GB2312"/>
          <w:kern w:val="28"/>
          <w:sz w:val="32"/>
          <w:szCs w:val="32"/>
        </w:rPr>
        <w:t>（1）前期准备与规划</w:t>
      </w:r>
    </w:p>
    <w:p w14:paraId="1A6E2E5F">
      <w:pPr>
        <w:spacing w:line="560" w:lineRule="exact"/>
        <w:ind w:firstLine="640" w:firstLineChars="200"/>
        <w:rPr>
          <w:rFonts w:eastAsia="仿宋_GB2312"/>
          <w:kern w:val="28"/>
          <w:sz w:val="32"/>
          <w:szCs w:val="32"/>
        </w:rPr>
      </w:pPr>
      <w:r>
        <w:rPr>
          <w:rFonts w:eastAsia="仿宋_GB2312"/>
          <w:kern w:val="28"/>
          <w:sz w:val="32"/>
          <w:szCs w:val="32"/>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3815632F">
      <w:pPr>
        <w:spacing w:line="560" w:lineRule="exact"/>
        <w:ind w:firstLine="640" w:firstLineChars="200"/>
        <w:rPr>
          <w:rFonts w:eastAsia="仿宋_GB2312"/>
          <w:kern w:val="28"/>
          <w:sz w:val="32"/>
          <w:szCs w:val="32"/>
        </w:rPr>
      </w:pPr>
      <w:r>
        <w:rPr>
          <w:rFonts w:eastAsia="仿宋_GB2312"/>
          <w:kern w:val="28"/>
          <w:sz w:val="32"/>
          <w:szCs w:val="32"/>
        </w:rPr>
        <w:t>（2）指标体系构建</w:t>
      </w:r>
    </w:p>
    <w:p w14:paraId="488C37E5">
      <w:pPr>
        <w:spacing w:line="560" w:lineRule="exact"/>
        <w:ind w:firstLine="640" w:firstLineChars="200"/>
        <w:rPr>
          <w:rFonts w:eastAsia="仿宋_GB2312"/>
          <w:kern w:val="28"/>
          <w:sz w:val="32"/>
          <w:szCs w:val="32"/>
        </w:rPr>
      </w:pPr>
      <w:r>
        <w:rPr>
          <w:rFonts w:eastAsia="仿宋_GB2312"/>
          <w:kern w:val="28"/>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p>
    <w:p w14:paraId="7186844F">
      <w:pPr>
        <w:spacing w:line="560" w:lineRule="exact"/>
        <w:ind w:firstLine="640" w:firstLineChars="200"/>
        <w:rPr>
          <w:rFonts w:eastAsia="仿宋_GB2312"/>
          <w:kern w:val="28"/>
          <w:sz w:val="32"/>
          <w:szCs w:val="32"/>
        </w:rPr>
      </w:pPr>
      <w:r>
        <w:rPr>
          <w:rFonts w:eastAsia="仿宋_GB2312"/>
          <w:kern w:val="28"/>
          <w:sz w:val="32"/>
          <w:szCs w:val="32"/>
        </w:rPr>
        <w:t>（3）数据收集与整理</w:t>
      </w:r>
    </w:p>
    <w:p w14:paraId="70F14710">
      <w:pPr>
        <w:spacing w:line="560" w:lineRule="exact"/>
        <w:ind w:firstLine="640" w:firstLineChars="200"/>
        <w:rPr>
          <w:rFonts w:eastAsia="仿宋_GB2312"/>
          <w:kern w:val="28"/>
          <w:sz w:val="32"/>
          <w:szCs w:val="32"/>
        </w:rPr>
      </w:pPr>
      <w:r>
        <w:rPr>
          <w:rFonts w:eastAsia="仿宋_GB2312"/>
          <w:kern w:val="28"/>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216DA76B">
      <w:pPr>
        <w:spacing w:line="560" w:lineRule="exact"/>
        <w:ind w:firstLine="640" w:firstLineChars="200"/>
        <w:rPr>
          <w:rFonts w:eastAsia="仿宋_GB2312"/>
          <w:kern w:val="28"/>
          <w:sz w:val="32"/>
          <w:szCs w:val="32"/>
        </w:rPr>
      </w:pPr>
      <w:r>
        <w:rPr>
          <w:rFonts w:eastAsia="仿宋_GB2312"/>
          <w:kern w:val="28"/>
          <w:sz w:val="32"/>
          <w:szCs w:val="32"/>
        </w:rPr>
        <w:t>（4）数据分析与评估</w:t>
      </w:r>
    </w:p>
    <w:p w14:paraId="21F21A26">
      <w:pPr>
        <w:spacing w:line="560" w:lineRule="exact"/>
        <w:ind w:firstLine="640" w:firstLineChars="200"/>
        <w:rPr>
          <w:rFonts w:eastAsia="仿宋_GB2312"/>
          <w:kern w:val="28"/>
          <w:sz w:val="32"/>
          <w:szCs w:val="32"/>
        </w:rPr>
      </w:pPr>
      <w:r>
        <w:rPr>
          <w:rFonts w:eastAsia="仿宋_GB2312"/>
          <w:kern w:val="28"/>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2A0582A6">
      <w:pPr>
        <w:spacing w:line="560" w:lineRule="exact"/>
        <w:ind w:firstLine="640" w:firstLineChars="200"/>
        <w:rPr>
          <w:rFonts w:eastAsia="仿宋_GB2312"/>
          <w:kern w:val="28"/>
          <w:sz w:val="32"/>
          <w:szCs w:val="32"/>
        </w:rPr>
      </w:pPr>
      <w:r>
        <w:rPr>
          <w:rFonts w:eastAsia="仿宋_GB2312"/>
          <w:kern w:val="28"/>
          <w:sz w:val="32"/>
          <w:szCs w:val="32"/>
        </w:rPr>
        <w:t>（5）报告撰写与反馈</w:t>
      </w:r>
    </w:p>
    <w:p w14:paraId="2EEB9968">
      <w:pPr>
        <w:spacing w:line="560" w:lineRule="exact"/>
        <w:ind w:firstLine="640" w:firstLineChars="200"/>
        <w:rPr>
          <w:rFonts w:eastAsia="仿宋_GB2312"/>
          <w:kern w:val="28"/>
          <w:sz w:val="32"/>
          <w:szCs w:val="32"/>
        </w:rPr>
      </w:pPr>
      <w:r>
        <w:rPr>
          <w:rFonts w:eastAsia="仿宋_GB2312"/>
          <w:kern w:val="28"/>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0483CE8C">
      <w:pPr>
        <w:spacing w:line="560" w:lineRule="exact"/>
        <w:ind w:firstLine="640" w:firstLineChars="200"/>
        <w:rPr>
          <w:rFonts w:eastAsia="仿宋_GB2312"/>
          <w:kern w:val="28"/>
          <w:sz w:val="32"/>
          <w:szCs w:val="32"/>
        </w:rPr>
      </w:pPr>
      <w:r>
        <w:rPr>
          <w:rFonts w:eastAsia="仿宋_GB2312"/>
          <w:kern w:val="28"/>
          <w:sz w:val="32"/>
          <w:szCs w:val="32"/>
        </w:rPr>
        <w:t>（6）后续跟踪与改进</w:t>
      </w:r>
    </w:p>
    <w:p w14:paraId="7DE62A46">
      <w:pPr>
        <w:spacing w:line="560" w:lineRule="exact"/>
        <w:ind w:firstLine="640" w:firstLineChars="200"/>
        <w:rPr>
          <w:rFonts w:eastAsia="仿宋_GB2312"/>
          <w:kern w:val="28"/>
          <w:sz w:val="32"/>
          <w:szCs w:val="32"/>
        </w:rPr>
      </w:pPr>
      <w:r>
        <w:rPr>
          <w:rFonts w:eastAsia="仿宋_GB2312"/>
          <w:kern w:val="28"/>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74FDD2B0">
      <w:pPr>
        <w:numPr>
          <w:ilvl w:val="0"/>
          <w:numId w:val="3"/>
        </w:numPr>
        <w:spacing w:line="560" w:lineRule="exact"/>
        <w:ind w:firstLine="640" w:firstLineChars="200"/>
        <w:rPr>
          <w:rFonts w:eastAsia="黑体"/>
          <w:sz w:val="32"/>
          <w:szCs w:val="32"/>
        </w:rPr>
      </w:pPr>
      <w:r>
        <w:rPr>
          <w:rFonts w:eastAsia="黑体"/>
          <w:sz w:val="32"/>
          <w:szCs w:val="32"/>
        </w:rPr>
        <w:t>综合评价情况及评价结论（附相关评分表）</w:t>
      </w:r>
    </w:p>
    <w:p w14:paraId="41C8F550">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w:t>
      </w:r>
      <w:bookmarkStart w:id="10" w:name="OLE_LINK18"/>
      <w:r>
        <w:rPr>
          <w:rFonts w:ascii="Times New Roman" w:hAnsi="Times New Roman" w:eastAsia="楷体_GB2312"/>
        </w:rPr>
        <w:t>评价情况</w:t>
      </w:r>
    </w:p>
    <w:p w14:paraId="7E1EC10B">
      <w:pPr>
        <w:pStyle w:val="9"/>
        <w:widowControl/>
        <w:spacing w:beforeAutospacing="0" w:afterAutospacing="0" w:line="560" w:lineRule="exact"/>
        <w:ind w:firstLine="640" w:firstLineChars="200"/>
        <w:rPr>
          <w:rFonts w:eastAsia="仿宋_GB2312"/>
          <w:sz w:val="32"/>
          <w:szCs w:val="32"/>
        </w:rPr>
      </w:pPr>
      <w:r>
        <w:rPr>
          <w:rFonts w:eastAsia="仿宋_GB2312"/>
          <w:sz w:val="32"/>
          <w:szCs w:val="32"/>
        </w:rPr>
        <w:t>本项目的综合评价基于对项目各方面绩效的深入分析与评估。从项目目标的达成情况来看，</w:t>
      </w:r>
      <w:bookmarkStart w:id="11" w:name="OLE_LINK8"/>
      <w:bookmarkStart w:id="12" w:name="OLE_LINK13"/>
      <w:r>
        <w:rPr>
          <w:rFonts w:eastAsia="仿宋_GB2312"/>
          <w:sz w:val="32"/>
          <w:szCs w:val="32"/>
        </w:rPr>
        <w:t>《中国共产党特克斯县简史》评审</w:t>
      </w:r>
      <w:bookmarkEnd w:id="11"/>
      <w:r>
        <w:rPr>
          <w:rFonts w:eastAsia="仿宋_GB2312"/>
          <w:sz w:val="32"/>
          <w:szCs w:val="32"/>
        </w:rPr>
        <w:t>与</w:t>
      </w:r>
      <w:bookmarkStart w:id="13" w:name="OLE_LINK9"/>
      <w:r>
        <w:rPr>
          <w:rFonts w:eastAsia="仿宋_GB2312"/>
          <w:sz w:val="32"/>
          <w:szCs w:val="32"/>
        </w:rPr>
        <w:t>《特克斯年鉴（2023）》出版印刷</w:t>
      </w:r>
      <w:bookmarkEnd w:id="13"/>
      <w:r>
        <w:rPr>
          <w:rFonts w:eastAsia="仿宋_GB2312"/>
          <w:sz w:val="32"/>
          <w:szCs w:val="32"/>
        </w:rPr>
        <w:t>经费（本级）在</w:t>
      </w:r>
      <w:bookmarkEnd w:id="12"/>
      <w:r>
        <w:rPr>
          <w:rFonts w:eastAsia="仿宋_GB2312"/>
          <w:sz w:val="32"/>
          <w:szCs w:val="32"/>
        </w:rPr>
        <w:t>《中国共产党特克斯县简史》评审、《特克斯年鉴（2023）》出版印刷等方面表现出色，达到了预期的标准与要求。同时，项目也在</w:t>
      </w:r>
      <w:r>
        <w:rPr>
          <w:rFonts w:hint="eastAsia" w:eastAsia="仿宋_GB2312"/>
          <w:sz w:val="32"/>
          <w:szCs w:val="32"/>
        </w:rPr>
        <w:t>社会效果</w:t>
      </w:r>
      <w:r>
        <w:rPr>
          <w:rFonts w:eastAsia="仿宋_GB2312"/>
          <w:sz w:val="32"/>
          <w:szCs w:val="32"/>
        </w:rPr>
        <w:t>取得了显著的成效，如</w:t>
      </w:r>
      <w:bookmarkStart w:id="14" w:name="OLE_LINK14"/>
      <w:bookmarkStart w:id="15" w:name="OLE_LINK12"/>
      <w:r>
        <w:rPr>
          <w:rFonts w:hint="eastAsia" w:eastAsia="仿宋_GB2312"/>
          <w:sz w:val="32"/>
          <w:szCs w:val="32"/>
        </w:rPr>
        <w:t>加快推进《中国共产党特克斯县简史》的编撰出版，《特克斯年鉴（2023）》发挥存史资政作用</w:t>
      </w:r>
      <w:bookmarkEnd w:id="14"/>
      <w:r>
        <w:rPr>
          <w:rFonts w:eastAsia="仿宋_GB2312"/>
          <w:sz w:val="32"/>
          <w:szCs w:val="32"/>
        </w:rPr>
        <w:t>等</w:t>
      </w:r>
      <w:bookmarkEnd w:id="15"/>
      <w:r>
        <w:rPr>
          <w:rFonts w:eastAsia="仿宋_GB2312"/>
          <w:sz w:val="32"/>
          <w:szCs w:val="32"/>
        </w:rPr>
        <w:t>。</w:t>
      </w:r>
    </w:p>
    <w:p w14:paraId="5D1DE0D6">
      <w:pPr>
        <w:pStyle w:val="9"/>
        <w:widowControl/>
        <w:spacing w:beforeAutospacing="0" w:afterAutospacing="0" w:line="560" w:lineRule="exact"/>
        <w:ind w:firstLine="640" w:firstLineChars="200"/>
        <w:rPr>
          <w:rFonts w:eastAsia="仿宋_GB2312"/>
          <w:sz w:val="32"/>
          <w:szCs w:val="32"/>
        </w:rPr>
      </w:pPr>
      <w:r>
        <w:rPr>
          <w:rFonts w:eastAsia="仿宋_GB2312"/>
          <w:sz w:val="32"/>
          <w:szCs w:val="32"/>
        </w:rPr>
        <w:t>在项目管理方面，</w:t>
      </w:r>
      <w:r>
        <w:rPr>
          <w:rFonts w:hint="eastAsia" w:eastAsia="仿宋_GB2312"/>
          <w:sz w:val="32"/>
          <w:szCs w:val="32"/>
        </w:rPr>
        <w:t>特克斯县委史志办公室</w:t>
      </w:r>
      <w:r>
        <w:rPr>
          <w:rFonts w:eastAsia="仿宋_GB2312"/>
          <w:sz w:val="32"/>
          <w:szCs w:val="32"/>
        </w:rPr>
        <w:t>通过有效的规划、组织与协调，项目得以顺利实施，并在预算与时间上保持了良好的控制。</w:t>
      </w:r>
    </w:p>
    <w:p w14:paraId="63387F27">
      <w:pPr>
        <w:pStyle w:val="9"/>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从项目效益的角度来看，本项目不仅实现了预期的社会效益、等方面产生了积极的影响。具体而言，</w:t>
      </w:r>
      <w:r>
        <w:rPr>
          <w:rFonts w:hint="eastAsia" w:eastAsia="仿宋_GB2312"/>
          <w:sz w:val="32"/>
          <w:szCs w:val="32"/>
        </w:rPr>
        <w:t>加快推进《中国共产党特克斯县简史》的编撰出版，《特克斯年鉴（2023）》发挥存史资政作用</w:t>
      </w:r>
      <w:r>
        <w:rPr>
          <w:rFonts w:eastAsia="仿宋_GB2312"/>
          <w:sz w:val="32"/>
          <w:szCs w:val="32"/>
        </w:rPr>
        <w:t>等方面的提升，为项目的利益相关者带来了实实在的利益。</w:t>
      </w:r>
    </w:p>
    <w:p w14:paraId="559468BC">
      <w:pPr>
        <w:pStyle w:val="9"/>
        <w:widowControl/>
        <w:spacing w:beforeAutospacing="0" w:afterAutospacing="0" w:line="560" w:lineRule="exact"/>
        <w:ind w:firstLine="640" w:firstLineChars="200"/>
      </w:pPr>
      <w:r>
        <w:rPr>
          <w:rFonts w:eastAsia="仿宋_GB2312"/>
          <w:sz w:val="32"/>
          <w:szCs w:val="32"/>
        </w:rPr>
        <w:t>综上所述，《中国共产党特克斯县简史》评审与《特克斯年鉴（2023）》出版印刷经费（本级）在</w:t>
      </w:r>
      <w:bookmarkStart w:id="27" w:name="_GoBack"/>
      <w:bookmarkEnd w:id="27"/>
      <w:r>
        <w:rPr>
          <w:rFonts w:eastAsia="仿宋_GB2312"/>
          <w:sz w:val="32"/>
          <w:szCs w:val="32"/>
        </w:rPr>
        <w:t>绩效评价中表现出色，达到了项目的预期目标，并在多个方面取得了显著的成效。</w:t>
      </w:r>
    </w:p>
    <w:p w14:paraId="467BFA3A">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（二）评价结论</w:t>
      </w:r>
    </w:p>
    <w:p w14:paraId="19A21044">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ascii="Times New Roman" w:hAnsi="Times New Roman" w:eastAsia="仿宋_GB2312"/>
          <w:b w:val="0"/>
          <w:bCs w:val="0"/>
          <w:highlight w:val="none"/>
        </w:rPr>
        <w:t xml:space="preserve">总得分为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分，属于“优”。其中，项目决策类指标权重为20分，得分为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rPr>
        <w:t>100</w:t>
      </w:r>
      <w:r>
        <w:rPr>
          <w:rFonts w:ascii="Times New Roman" w:hAnsi="Times New Roman" w:eastAsia="仿宋_GB2312"/>
          <w:b w:val="0"/>
          <w:bCs w:val="0"/>
          <w:highlight w:val="none"/>
        </w:rPr>
        <w:t>%。</w:t>
      </w:r>
      <w:r>
        <w:rPr>
          <w:rFonts w:ascii="Times New Roman" w:hAnsi="Times New Roman" w:eastAsia="仿宋_GB2312"/>
          <w:b w:val="0"/>
          <w:bCs w:val="0"/>
        </w:rPr>
        <w:t>项目产出类指标权重为40分，得分为</w:t>
      </w:r>
      <w:r>
        <w:rPr>
          <w:rFonts w:hint="eastAsia" w:ascii="Times New Roman" w:hAnsi="Times New Roman" w:eastAsia="仿宋_GB2312"/>
          <w:b w:val="0"/>
          <w:bCs w:val="0"/>
        </w:rPr>
        <w:t>40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%。具体打分情况详见：附件1综合评分表。</w:t>
      </w:r>
    </w:p>
    <w:p w14:paraId="7539AE84">
      <w:pPr>
        <w:pStyle w:val="10"/>
        <w:spacing w:before="0" w:after="0"/>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14:paraId="654AD1ED">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vAlign w:val="center"/>
          </w:tcPr>
          <w:p w14:paraId="22324AFF">
            <w:pPr>
              <w:jc w:val="center"/>
              <w:rPr>
                <w:rFonts w:eastAsia="仿宋_GB2312"/>
                <w:b/>
                <w:bCs/>
                <w:color w:val="000000"/>
                <w:szCs w:val="21"/>
              </w:rPr>
            </w:pPr>
            <w:r>
              <w:rPr>
                <w:rFonts w:eastAsia="仿宋_GB2312"/>
                <w:b/>
                <w:bCs/>
                <w:color w:val="000000"/>
                <w:szCs w:val="21"/>
              </w:rPr>
              <w:t>一级指标</w:t>
            </w:r>
          </w:p>
        </w:tc>
        <w:tc>
          <w:tcPr>
            <w:tcW w:w="2168" w:type="dxa"/>
            <w:tcBorders>
              <w:top w:val="single" w:color="auto" w:sz="4" w:space="0"/>
              <w:left w:val="nil"/>
              <w:bottom w:val="single" w:color="auto" w:sz="4" w:space="0"/>
              <w:right w:val="single" w:color="auto" w:sz="4" w:space="0"/>
            </w:tcBorders>
            <w:shd w:val="clear" w:color="000000" w:fill="BEBEBE"/>
            <w:vAlign w:val="center"/>
          </w:tcPr>
          <w:p w14:paraId="7A585848">
            <w:pPr>
              <w:jc w:val="center"/>
              <w:rPr>
                <w:rFonts w:eastAsia="仿宋_GB2312"/>
                <w:b/>
                <w:bCs/>
                <w:color w:val="000000"/>
                <w:szCs w:val="21"/>
              </w:rPr>
            </w:pPr>
            <w:r>
              <w:rPr>
                <w:rFonts w:eastAsia="仿宋_GB2312"/>
                <w:b/>
                <w:bCs/>
                <w:color w:val="000000"/>
                <w:szCs w:val="21"/>
              </w:rPr>
              <w:t>权重分</w:t>
            </w:r>
          </w:p>
        </w:tc>
        <w:tc>
          <w:tcPr>
            <w:tcW w:w="2278" w:type="dxa"/>
            <w:tcBorders>
              <w:top w:val="single" w:color="auto" w:sz="4" w:space="0"/>
              <w:left w:val="nil"/>
              <w:bottom w:val="single" w:color="auto" w:sz="4" w:space="0"/>
              <w:right w:val="single" w:color="auto" w:sz="4" w:space="0"/>
            </w:tcBorders>
            <w:shd w:val="clear" w:color="000000" w:fill="BEBEBE"/>
            <w:vAlign w:val="center"/>
          </w:tcPr>
          <w:p w14:paraId="17535A47">
            <w:pPr>
              <w:jc w:val="center"/>
              <w:rPr>
                <w:rFonts w:eastAsia="仿宋_GB2312"/>
                <w:b/>
                <w:bCs/>
                <w:color w:val="000000"/>
                <w:szCs w:val="21"/>
              </w:rPr>
            </w:pPr>
            <w:r>
              <w:rPr>
                <w:rFonts w:eastAsia="仿宋_GB2312"/>
                <w:b/>
                <w:bCs/>
                <w:color w:val="000000"/>
                <w:szCs w:val="21"/>
              </w:rPr>
              <w:t>得分</w:t>
            </w:r>
          </w:p>
        </w:tc>
      </w:tr>
      <w:tr w14:paraId="7B31F15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4E771E1">
            <w:pPr>
              <w:jc w:val="center"/>
              <w:rPr>
                <w:rFonts w:eastAsia="仿宋_GB2312"/>
                <w:color w:val="000000"/>
                <w:szCs w:val="21"/>
              </w:rPr>
            </w:pPr>
            <w:r>
              <w:rPr>
                <w:rFonts w:eastAsia="仿宋_GB2312"/>
                <w:color w:val="000000"/>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44231BCA">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14:paraId="16473C68">
            <w:pPr>
              <w:jc w:val="center"/>
              <w:rPr>
                <w:rFonts w:hint="default" w:eastAsia="仿宋_GB2312"/>
                <w:color w:val="000000"/>
                <w:szCs w:val="21"/>
                <w:lang w:val="en-US" w:eastAsia="zh-CN"/>
              </w:rPr>
            </w:pPr>
            <w:r>
              <w:rPr>
                <w:rFonts w:hint="eastAsia" w:eastAsia="仿宋_GB2312"/>
                <w:color w:val="000000"/>
                <w:szCs w:val="21"/>
                <w:lang w:val="en-US" w:eastAsia="zh-CN"/>
              </w:rPr>
              <w:t>20</w:t>
            </w:r>
          </w:p>
        </w:tc>
      </w:tr>
      <w:tr w14:paraId="16B3D84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DCE8E74">
            <w:pPr>
              <w:jc w:val="center"/>
              <w:rPr>
                <w:rFonts w:eastAsia="仿宋_GB2312"/>
                <w:color w:val="000000"/>
                <w:szCs w:val="21"/>
              </w:rPr>
            </w:pPr>
            <w:r>
              <w:rPr>
                <w:rFonts w:eastAsia="仿宋_GB2312"/>
                <w:color w:val="000000"/>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023226FE">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14:paraId="24D5B409">
            <w:pPr>
              <w:jc w:val="center"/>
              <w:rPr>
                <w:rFonts w:eastAsia="仿宋_GB2312"/>
                <w:color w:val="000000"/>
                <w:szCs w:val="21"/>
              </w:rPr>
            </w:pPr>
            <w:r>
              <w:rPr>
                <w:rFonts w:hint="eastAsia" w:eastAsia="仿宋_GB2312"/>
                <w:color w:val="000000"/>
                <w:szCs w:val="21"/>
              </w:rPr>
              <w:t>20</w:t>
            </w:r>
          </w:p>
        </w:tc>
      </w:tr>
      <w:tr w14:paraId="1604B8A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665822C">
            <w:pPr>
              <w:jc w:val="center"/>
              <w:rPr>
                <w:rFonts w:eastAsia="仿宋_GB2312"/>
                <w:color w:val="000000"/>
                <w:szCs w:val="21"/>
              </w:rPr>
            </w:pPr>
            <w:r>
              <w:rPr>
                <w:rFonts w:eastAsia="仿宋_GB2312"/>
                <w:color w:val="000000"/>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4A72C633">
            <w:pPr>
              <w:jc w:val="center"/>
              <w:rPr>
                <w:rFonts w:eastAsia="仿宋_GB2312"/>
                <w:color w:val="000000"/>
                <w:szCs w:val="21"/>
              </w:rPr>
            </w:pPr>
            <w:r>
              <w:rPr>
                <w:rFonts w:eastAsia="仿宋_GB2312"/>
                <w:color w:val="000000"/>
                <w:szCs w:val="21"/>
              </w:rPr>
              <w:t>40</w:t>
            </w:r>
          </w:p>
        </w:tc>
        <w:tc>
          <w:tcPr>
            <w:tcW w:w="2278" w:type="dxa"/>
            <w:tcBorders>
              <w:top w:val="nil"/>
              <w:left w:val="nil"/>
              <w:bottom w:val="single" w:color="auto" w:sz="4" w:space="0"/>
              <w:right w:val="single" w:color="auto" w:sz="4" w:space="0"/>
            </w:tcBorders>
            <w:shd w:val="clear" w:color="auto" w:fill="auto"/>
            <w:vAlign w:val="center"/>
          </w:tcPr>
          <w:p w14:paraId="13667B7F">
            <w:pPr>
              <w:jc w:val="center"/>
              <w:rPr>
                <w:rFonts w:eastAsia="仿宋_GB2312"/>
                <w:color w:val="000000"/>
                <w:szCs w:val="21"/>
              </w:rPr>
            </w:pPr>
            <w:r>
              <w:rPr>
                <w:rFonts w:hint="eastAsia" w:eastAsia="仿宋_GB2312"/>
                <w:color w:val="000000"/>
                <w:szCs w:val="21"/>
              </w:rPr>
              <w:t>40</w:t>
            </w:r>
          </w:p>
        </w:tc>
      </w:tr>
      <w:tr w14:paraId="4E2AD47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C4906C7">
            <w:pPr>
              <w:jc w:val="center"/>
              <w:rPr>
                <w:rFonts w:eastAsia="仿宋_GB2312"/>
                <w:color w:val="000000"/>
                <w:szCs w:val="21"/>
              </w:rPr>
            </w:pPr>
            <w:r>
              <w:rPr>
                <w:rFonts w:eastAsia="仿宋_GB2312"/>
                <w:color w:val="000000"/>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2F55C763">
            <w:pPr>
              <w:jc w:val="center"/>
              <w:rPr>
                <w:rFonts w:eastAsia="仿宋_GB2312"/>
                <w:color w:val="000000"/>
                <w:szCs w:val="21"/>
              </w:rPr>
            </w:pPr>
            <w:r>
              <w:rPr>
                <w:rFonts w:eastAsia="仿宋_GB2312"/>
                <w:color w:val="000000"/>
                <w:szCs w:val="21"/>
              </w:rPr>
              <w:t>20</w:t>
            </w:r>
          </w:p>
        </w:tc>
        <w:tc>
          <w:tcPr>
            <w:tcW w:w="2278" w:type="dxa"/>
            <w:tcBorders>
              <w:top w:val="nil"/>
              <w:left w:val="nil"/>
              <w:bottom w:val="single" w:color="auto" w:sz="4" w:space="0"/>
              <w:right w:val="single" w:color="auto" w:sz="4" w:space="0"/>
            </w:tcBorders>
            <w:shd w:val="clear" w:color="auto" w:fill="auto"/>
            <w:vAlign w:val="center"/>
          </w:tcPr>
          <w:p w14:paraId="4B3A40CA">
            <w:pPr>
              <w:jc w:val="center"/>
              <w:rPr>
                <w:rFonts w:eastAsia="仿宋_GB2312"/>
                <w:color w:val="000000"/>
                <w:szCs w:val="21"/>
              </w:rPr>
            </w:pPr>
            <w:r>
              <w:rPr>
                <w:rFonts w:hint="eastAsia" w:eastAsia="仿宋_GB2312"/>
                <w:color w:val="000000"/>
                <w:szCs w:val="21"/>
              </w:rPr>
              <w:t>20</w:t>
            </w:r>
          </w:p>
        </w:tc>
      </w:tr>
      <w:tr w14:paraId="69947CC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14484F7">
            <w:pPr>
              <w:jc w:val="center"/>
              <w:rPr>
                <w:rFonts w:eastAsia="仿宋_GB2312"/>
                <w:b/>
                <w:bCs/>
                <w:color w:val="000000"/>
                <w:szCs w:val="21"/>
              </w:rPr>
            </w:pPr>
            <w:r>
              <w:rPr>
                <w:rFonts w:eastAsia="仿宋_GB2312"/>
                <w:b/>
                <w:bCs/>
                <w:color w:val="000000"/>
                <w:szCs w:val="21"/>
              </w:rPr>
              <w:t>合计</w:t>
            </w:r>
          </w:p>
        </w:tc>
        <w:tc>
          <w:tcPr>
            <w:tcW w:w="2168" w:type="dxa"/>
            <w:tcBorders>
              <w:top w:val="nil"/>
              <w:left w:val="nil"/>
              <w:bottom w:val="single" w:color="auto" w:sz="4" w:space="0"/>
              <w:right w:val="single" w:color="auto" w:sz="4" w:space="0"/>
            </w:tcBorders>
            <w:shd w:val="clear" w:color="auto" w:fill="auto"/>
            <w:vAlign w:val="center"/>
          </w:tcPr>
          <w:p w14:paraId="2ECBEC77">
            <w:pPr>
              <w:jc w:val="center"/>
              <w:rPr>
                <w:rFonts w:eastAsia="仿宋_GB2312"/>
                <w:b/>
                <w:bCs/>
                <w:color w:val="000000"/>
                <w:szCs w:val="21"/>
              </w:rPr>
            </w:pPr>
            <w:r>
              <w:rPr>
                <w:rFonts w:eastAsia="仿宋_GB2312"/>
                <w:b/>
                <w:bCs/>
                <w:color w:val="000000"/>
                <w:szCs w:val="21"/>
              </w:rPr>
              <w:t>100</w:t>
            </w:r>
          </w:p>
        </w:tc>
        <w:tc>
          <w:tcPr>
            <w:tcW w:w="2278" w:type="dxa"/>
            <w:tcBorders>
              <w:top w:val="nil"/>
              <w:left w:val="nil"/>
              <w:bottom w:val="single" w:color="auto" w:sz="4" w:space="0"/>
              <w:right w:val="single" w:color="auto" w:sz="4" w:space="0"/>
            </w:tcBorders>
            <w:shd w:val="clear" w:color="auto" w:fill="auto"/>
            <w:vAlign w:val="center"/>
          </w:tcPr>
          <w:p w14:paraId="6C49F137">
            <w:pPr>
              <w:jc w:val="center"/>
              <w:rPr>
                <w:rFonts w:hint="default" w:eastAsia="仿宋_GB2312"/>
                <w:b/>
                <w:bCs/>
                <w:color w:val="000000"/>
                <w:szCs w:val="21"/>
                <w:lang w:val="en-US" w:eastAsia="zh-CN"/>
              </w:rPr>
            </w:pPr>
            <w:r>
              <w:rPr>
                <w:rFonts w:hint="eastAsia" w:eastAsia="仿宋_GB2312"/>
                <w:b/>
                <w:bCs/>
                <w:color w:val="000000"/>
                <w:szCs w:val="21"/>
                <w:lang w:val="en-US" w:eastAsia="zh-CN"/>
              </w:rPr>
              <w:t>100</w:t>
            </w:r>
            <w:bookmarkEnd w:id="10"/>
          </w:p>
        </w:tc>
      </w:tr>
    </w:tbl>
    <w:p w14:paraId="48E76780">
      <w:pPr>
        <w:spacing w:line="560" w:lineRule="exact"/>
        <w:ind w:firstLine="640" w:firstLineChars="200"/>
        <w:rPr>
          <w:rFonts w:eastAsia="黑体"/>
          <w:sz w:val="32"/>
          <w:szCs w:val="32"/>
        </w:rPr>
      </w:pPr>
      <w:r>
        <w:rPr>
          <w:rFonts w:eastAsia="黑体"/>
          <w:sz w:val="32"/>
          <w:szCs w:val="32"/>
        </w:rPr>
        <w:t>四、绩效评价指标分析</w:t>
      </w:r>
    </w:p>
    <w:p w14:paraId="1200960E">
      <w:pPr>
        <w:pStyle w:val="10"/>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w:t>
      </w:r>
      <w:bookmarkStart w:id="16" w:name="OLE_LINK20"/>
      <w:r>
        <w:rPr>
          <w:rFonts w:ascii="Times New Roman" w:hAnsi="Times New Roman" w:eastAsia="楷体_GB2312"/>
        </w:rPr>
        <w:t>项目决策情况</w:t>
      </w:r>
    </w:p>
    <w:p w14:paraId="49DDBB6F">
      <w:pPr>
        <w:spacing w:line="600" w:lineRule="exact"/>
        <w:ind w:firstLine="640" w:firstLineChars="200"/>
        <w:outlineLvl w:val="0"/>
        <w:rPr>
          <w:rFonts w:eastAsia="仿宋_GB2312"/>
          <w:sz w:val="32"/>
          <w:szCs w:val="32"/>
        </w:rPr>
      </w:pPr>
      <w:r>
        <w:rPr>
          <w:rFonts w:eastAsia="仿宋_GB2312"/>
          <w:sz w:val="32"/>
          <w:szCs w:val="32"/>
        </w:rPr>
        <w:t>项目决策类指标包括项目立项、绩效目标和资金投入三方面的内容，由6个三级指标构成，权重分值为20分，实际得分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422DFF3F">
      <w:pPr>
        <w:pStyle w:val="21"/>
        <w:spacing w:line="560" w:lineRule="exact"/>
        <w:ind w:firstLine="640"/>
        <w:rPr>
          <w:rFonts w:eastAsia="仿宋_GB2312"/>
          <w:b/>
          <w:bCs/>
          <w:sz w:val="32"/>
          <w:szCs w:val="32"/>
        </w:rPr>
      </w:pPr>
      <w:r>
        <w:rPr>
          <w:rFonts w:eastAsia="仿宋_GB2312"/>
          <w:b/>
          <w:bCs/>
          <w:sz w:val="32"/>
          <w:szCs w:val="32"/>
        </w:rPr>
        <w:t>1.项目立项</w:t>
      </w:r>
    </w:p>
    <w:p w14:paraId="29CC297F">
      <w:pPr>
        <w:spacing w:line="600" w:lineRule="exact"/>
        <w:ind w:firstLine="640" w:firstLineChars="200"/>
        <w:outlineLvl w:val="0"/>
        <w:rPr>
          <w:rFonts w:eastAsia="仿宋_GB2312"/>
          <w:sz w:val="32"/>
          <w:szCs w:val="32"/>
        </w:rPr>
      </w:pPr>
      <w:r>
        <w:rPr>
          <w:rFonts w:eastAsia="仿宋_GB2312"/>
          <w:sz w:val="32"/>
          <w:szCs w:val="32"/>
        </w:rPr>
        <w:t>（1）立项依据充分性</w:t>
      </w:r>
    </w:p>
    <w:p w14:paraId="0CCEEE74">
      <w:pPr>
        <w:spacing w:line="600" w:lineRule="exact"/>
        <w:ind w:firstLine="640" w:firstLineChars="200"/>
        <w:outlineLvl w:val="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5BF8B777">
      <w:pPr>
        <w:spacing w:line="600" w:lineRule="exact"/>
        <w:ind w:firstLine="640" w:firstLineChars="200"/>
        <w:outlineLvl w:val="0"/>
        <w:rPr>
          <w:rFonts w:eastAsia="仿宋_GB2312"/>
          <w:sz w:val="32"/>
          <w:szCs w:val="32"/>
        </w:rPr>
      </w:pPr>
      <w:r>
        <w:rPr>
          <w:rFonts w:eastAsia="仿宋_GB2312"/>
          <w:sz w:val="32"/>
          <w:szCs w:val="32"/>
        </w:rPr>
        <w:t>（2）立项程序规范性</w:t>
      </w:r>
    </w:p>
    <w:p w14:paraId="4A3C305E">
      <w:pPr>
        <w:spacing w:line="600" w:lineRule="exact"/>
        <w:ind w:firstLine="640" w:firstLineChars="200"/>
        <w:outlineLvl w:val="0"/>
        <w:rPr>
          <w:rFonts w:eastAsia="仿宋_GB2312"/>
          <w:sz w:val="32"/>
          <w:szCs w:val="32"/>
        </w:rPr>
      </w:pPr>
      <w:r>
        <w:rPr>
          <w:rFonts w:eastAsia="仿宋_GB2312"/>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6A1DA4C4">
      <w:pPr>
        <w:pStyle w:val="21"/>
        <w:spacing w:line="560" w:lineRule="exact"/>
        <w:ind w:firstLine="640"/>
        <w:rPr>
          <w:rFonts w:eastAsia="仿宋_GB2312"/>
          <w:b/>
          <w:bCs/>
          <w:sz w:val="32"/>
          <w:szCs w:val="32"/>
        </w:rPr>
      </w:pPr>
      <w:r>
        <w:rPr>
          <w:rFonts w:eastAsia="仿宋_GB2312"/>
          <w:b/>
          <w:bCs/>
          <w:sz w:val="32"/>
          <w:szCs w:val="32"/>
        </w:rPr>
        <w:t>2.绩效目标</w:t>
      </w:r>
    </w:p>
    <w:p w14:paraId="5810B0CE">
      <w:pPr>
        <w:spacing w:line="600" w:lineRule="exact"/>
        <w:ind w:firstLine="640" w:firstLineChars="200"/>
        <w:outlineLvl w:val="0"/>
        <w:rPr>
          <w:rFonts w:eastAsia="仿宋_GB2312"/>
          <w:sz w:val="32"/>
          <w:szCs w:val="32"/>
        </w:rPr>
      </w:pPr>
      <w:r>
        <w:rPr>
          <w:rFonts w:eastAsia="仿宋_GB2312"/>
          <w:sz w:val="32"/>
          <w:szCs w:val="32"/>
        </w:rPr>
        <w:t>（1）绩效目标合理性</w:t>
      </w:r>
    </w:p>
    <w:p w14:paraId="7D4618E2">
      <w:pPr>
        <w:spacing w:line="600" w:lineRule="exact"/>
        <w:ind w:firstLine="640" w:firstLineChars="200"/>
        <w:outlineLvl w:val="0"/>
        <w:rPr>
          <w:rFonts w:eastAsia="仿宋_GB2312"/>
          <w:sz w:val="32"/>
          <w:szCs w:val="32"/>
        </w:rPr>
      </w:pPr>
      <w:r>
        <w:rPr>
          <w:rFonts w:eastAsia="仿宋_GB2312"/>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FFB8F0D">
      <w:pPr>
        <w:spacing w:line="600" w:lineRule="exact"/>
        <w:ind w:firstLine="640" w:firstLineChars="200"/>
        <w:outlineLvl w:val="0"/>
        <w:rPr>
          <w:rFonts w:eastAsia="仿宋_GB2312"/>
          <w:sz w:val="32"/>
          <w:szCs w:val="32"/>
        </w:rPr>
      </w:pPr>
      <w:r>
        <w:rPr>
          <w:rFonts w:eastAsia="仿宋_GB2312"/>
          <w:sz w:val="32"/>
          <w:szCs w:val="32"/>
        </w:rPr>
        <w:t>（2）绩效指标明确性</w:t>
      </w:r>
    </w:p>
    <w:p w14:paraId="0799BCE6">
      <w:pPr>
        <w:spacing w:line="600" w:lineRule="exact"/>
        <w:ind w:firstLine="640" w:firstLineChars="20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20C7F655">
      <w:pPr>
        <w:pStyle w:val="21"/>
        <w:spacing w:line="560" w:lineRule="exact"/>
        <w:ind w:firstLine="640"/>
        <w:rPr>
          <w:rFonts w:eastAsia="仿宋_GB2312"/>
          <w:b/>
          <w:bCs/>
          <w:sz w:val="32"/>
          <w:szCs w:val="32"/>
        </w:rPr>
      </w:pPr>
      <w:r>
        <w:rPr>
          <w:rFonts w:eastAsia="仿宋_GB2312"/>
          <w:b/>
          <w:bCs/>
          <w:sz w:val="32"/>
          <w:szCs w:val="32"/>
        </w:rPr>
        <w:t>3.资金投入</w:t>
      </w:r>
    </w:p>
    <w:p w14:paraId="486E8AC2">
      <w:pPr>
        <w:spacing w:line="600" w:lineRule="exact"/>
        <w:ind w:firstLine="640" w:firstLineChars="200"/>
        <w:outlineLvl w:val="0"/>
        <w:rPr>
          <w:rFonts w:eastAsia="仿宋_GB2312"/>
          <w:sz w:val="32"/>
          <w:szCs w:val="32"/>
        </w:rPr>
      </w:pPr>
      <w:r>
        <w:rPr>
          <w:rFonts w:eastAsia="仿宋_GB2312"/>
          <w:sz w:val="32"/>
          <w:szCs w:val="32"/>
        </w:rPr>
        <w:t>（1）预算编制科学性</w:t>
      </w:r>
    </w:p>
    <w:p w14:paraId="5494E4BD">
      <w:pPr>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24D8763C">
      <w:pPr>
        <w:spacing w:line="600" w:lineRule="exact"/>
        <w:ind w:firstLine="640" w:firstLineChars="20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5DA7A307">
      <w:pPr>
        <w:spacing w:line="600" w:lineRule="exact"/>
        <w:ind w:firstLine="640" w:firstLineChars="200"/>
        <w:outlineLvl w:val="0"/>
        <w:rPr>
          <w:rFonts w:eastAsia="仿宋_GB2312"/>
          <w:sz w:val="32"/>
          <w:szCs w:val="32"/>
        </w:rPr>
      </w:pPr>
      <w:r>
        <w:rPr>
          <w:rFonts w:eastAsia="仿宋_GB2312"/>
          <w:sz w:val="32"/>
          <w:szCs w:val="32"/>
        </w:rPr>
        <w:t>（2）资金分配合理性</w:t>
      </w:r>
    </w:p>
    <w:p w14:paraId="7C1CDE1F">
      <w:pPr>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57F76E08">
      <w:pPr>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22FB2F99">
      <w:pPr>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bookmarkEnd w:id="16"/>
    </w:p>
    <w:p w14:paraId="2465EBB8">
      <w:pPr>
        <w:pStyle w:val="10"/>
        <w:numPr>
          <w:ilvl w:val="0"/>
          <w:numId w:val="4"/>
        </w:numPr>
        <w:spacing w:before="0" w:after="0" w:line="560" w:lineRule="exact"/>
        <w:ind w:left="197" w:leftChars="0" w:firstLine="643" w:firstLineChars="0"/>
        <w:jc w:val="both"/>
        <w:rPr>
          <w:rFonts w:ascii="Times New Roman" w:hAnsi="Times New Roman" w:eastAsia="楷体"/>
        </w:rPr>
      </w:pPr>
      <w:r>
        <w:rPr>
          <w:rFonts w:ascii="Times New Roman" w:hAnsi="Times New Roman" w:eastAsia="楷体"/>
        </w:rPr>
        <w:t>项目过程情况</w:t>
      </w:r>
    </w:p>
    <w:p w14:paraId="10870BE8">
      <w:pPr>
        <w:spacing w:line="600" w:lineRule="exact"/>
        <w:ind w:firstLine="640" w:firstLineChars="200"/>
        <w:outlineLvl w:val="0"/>
        <w:rPr>
          <w:rFonts w:eastAsia="仿宋_GB2312"/>
          <w:sz w:val="32"/>
          <w:szCs w:val="32"/>
        </w:rPr>
      </w:pPr>
      <w:r>
        <w:rPr>
          <w:rFonts w:eastAsia="仿宋_GB2312"/>
          <w:sz w:val="32"/>
          <w:szCs w:val="32"/>
        </w:rPr>
        <w:t>项目过程类指标包括资金管理和组织实施两方面的内容，由5个三级指标构成，权重分值为20分，实际得分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22EB1ECC">
      <w:pPr>
        <w:pStyle w:val="21"/>
        <w:spacing w:line="560" w:lineRule="exact"/>
        <w:ind w:firstLine="640"/>
        <w:rPr>
          <w:rFonts w:eastAsia="仿宋_GB2312"/>
          <w:b/>
          <w:bCs/>
          <w:sz w:val="32"/>
          <w:szCs w:val="32"/>
        </w:rPr>
      </w:pPr>
      <w:r>
        <w:rPr>
          <w:rFonts w:eastAsia="仿宋_GB2312"/>
          <w:b/>
          <w:bCs/>
          <w:sz w:val="32"/>
          <w:szCs w:val="32"/>
        </w:rPr>
        <w:t>1.资金管理</w:t>
      </w:r>
    </w:p>
    <w:p w14:paraId="279F1819">
      <w:pPr>
        <w:spacing w:line="600" w:lineRule="exact"/>
        <w:ind w:firstLine="640" w:firstLineChars="200"/>
        <w:outlineLvl w:val="0"/>
        <w:rPr>
          <w:rFonts w:eastAsia="仿宋_GB2312"/>
          <w:sz w:val="32"/>
          <w:szCs w:val="32"/>
        </w:rPr>
      </w:pPr>
      <w:r>
        <w:rPr>
          <w:rFonts w:eastAsia="仿宋_GB2312"/>
          <w:sz w:val="32"/>
          <w:szCs w:val="32"/>
        </w:rPr>
        <w:t>（1）资金到位率</w:t>
      </w:r>
    </w:p>
    <w:p w14:paraId="4E34DA0C">
      <w:pPr>
        <w:spacing w:line="600" w:lineRule="exact"/>
        <w:ind w:firstLine="640" w:firstLineChars="200"/>
        <w:outlineLvl w:val="0"/>
        <w:rPr>
          <w:rFonts w:eastAsia="仿宋_GB2312"/>
          <w:sz w:val="32"/>
          <w:szCs w:val="32"/>
        </w:rPr>
      </w:pPr>
      <w:r>
        <w:rPr>
          <w:rFonts w:eastAsia="仿宋_GB2312"/>
          <w:sz w:val="32"/>
          <w:szCs w:val="32"/>
        </w:rPr>
        <w:t>本项目总投资</w:t>
      </w:r>
      <w:r>
        <w:rPr>
          <w:rFonts w:hint="eastAsia" w:eastAsia="仿宋_GB2312"/>
          <w:sz w:val="32"/>
          <w:szCs w:val="32"/>
        </w:rPr>
        <w:t>3.04</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14:paraId="0D152F5D">
      <w:pPr>
        <w:spacing w:line="600" w:lineRule="exact"/>
        <w:ind w:firstLine="640" w:firstLineChars="200"/>
        <w:outlineLvl w:val="0"/>
        <w:rPr>
          <w:rFonts w:eastAsia="仿宋_GB2312"/>
          <w:sz w:val="32"/>
          <w:szCs w:val="32"/>
        </w:rPr>
      </w:pPr>
      <w:r>
        <w:rPr>
          <w:rFonts w:eastAsia="仿宋_GB2312"/>
          <w:sz w:val="32"/>
          <w:szCs w:val="32"/>
        </w:rPr>
        <w:t>（2）预算执行率</w:t>
      </w:r>
    </w:p>
    <w:p w14:paraId="479923F3">
      <w:pPr>
        <w:spacing w:line="600" w:lineRule="exact"/>
        <w:ind w:firstLine="640" w:firstLineChars="200"/>
        <w:outlineLvl w:val="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3.04</w:t>
      </w:r>
      <w:r>
        <w:rPr>
          <w:rFonts w:eastAsia="仿宋_GB2312"/>
          <w:sz w:val="32"/>
          <w:szCs w:val="32"/>
        </w:rPr>
        <w:t>万元，预算执行率为</w:t>
      </w:r>
      <w:r>
        <w:rPr>
          <w:rFonts w:hint="eastAsia" w:eastAsia="仿宋_GB2312"/>
          <w:sz w:val="32"/>
          <w:szCs w:val="32"/>
        </w:rPr>
        <w:t>100</w:t>
      </w:r>
      <w:r>
        <w:rPr>
          <w:rFonts w:eastAsia="仿宋_GB2312"/>
          <w:sz w:val="32"/>
          <w:szCs w:val="32"/>
        </w:rPr>
        <w:t>%。</w:t>
      </w:r>
    </w:p>
    <w:p w14:paraId="3E9AA12A">
      <w:pPr>
        <w:spacing w:line="600" w:lineRule="exact"/>
        <w:ind w:firstLine="640" w:firstLineChars="200"/>
        <w:outlineLvl w:val="0"/>
        <w:rPr>
          <w:rFonts w:eastAsia="仿宋_GB2312"/>
          <w:sz w:val="32"/>
          <w:szCs w:val="32"/>
        </w:rPr>
      </w:pPr>
      <w:r>
        <w:rPr>
          <w:rFonts w:eastAsia="仿宋_GB2312"/>
          <w:sz w:val="32"/>
          <w:szCs w:val="32"/>
        </w:rPr>
        <w:t>（3）资金使用合规性</w:t>
      </w:r>
    </w:p>
    <w:p w14:paraId="38E3080E">
      <w:pPr>
        <w:spacing w:line="560" w:lineRule="exact"/>
        <w:ind w:firstLine="640" w:firstLineChars="200"/>
        <w:rPr>
          <w:rFonts w:eastAsia="仿宋_GB2312"/>
          <w:sz w:val="32"/>
          <w:szCs w:val="32"/>
        </w:rPr>
      </w:pPr>
      <w:r>
        <w:rPr>
          <w:rFonts w:eastAsia="仿宋_GB2312"/>
          <w:sz w:val="32"/>
          <w:szCs w:val="32"/>
        </w:rPr>
        <w:t>本项目的资金使用严格遵循了国家相关法律法规与财务制度，确保了资金的合规性与安全性。在资金使用过程中，我们建立了完善的财务管理体系，对资金的流动进行了全程监控与记录。</w:t>
      </w:r>
    </w:p>
    <w:p w14:paraId="4CDFECFD">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6A44889E">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4C8865F8">
      <w:pPr>
        <w:pStyle w:val="21"/>
        <w:spacing w:line="560" w:lineRule="exact"/>
        <w:ind w:firstLine="640"/>
        <w:rPr>
          <w:rFonts w:eastAsia="仿宋_GB2312"/>
          <w:b/>
          <w:bCs/>
          <w:sz w:val="32"/>
          <w:szCs w:val="32"/>
        </w:rPr>
      </w:pPr>
      <w:r>
        <w:rPr>
          <w:rFonts w:eastAsia="仿宋_GB2312"/>
          <w:b/>
          <w:bCs/>
          <w:sz w:val="32"/>
          <w:szCs w:val="32"/>
        </w:rPr>
        <w:t>2.组织实施</w:t>
      </w:r>
    </w:p>
    <w:p w14:paraId="15AE8298">
      <w:pPr>
        <w:spacing w:line="600" w:lineRule="exact"/>
        <w:ind w:firstLine="640" w:firstLineChars="200"/>
        <w:outlineLvl w:val="0"/>
        <w:rPr>
          <w:rFonts w:eastAsia="仿宋_GB2312"/>
          <w:sz w:val="32"/>
          <w:szCs w:val="32"/>
        </w:rPr>
      </w:pPr>
      <w:r>
        <w:rPr>
          <w:rFonts w:eastAsia="仿宋_GB2312"/>
          <w:sz w:val="32"/>
          <w:szCs w:val="32"/>
        </w:rPr>
        <w:t>（1）管理制度健全性</w:t>
      </w:r>
    </w:p>
    <w:p w14:paraId="30249BF3">
      <w:pPr>
        <w:spacing w:line="560" w:lineRule="exact"/>
        <w:ind w:firstLine="640" w:firstLineChars="200"/>
        <w:rPr>
          <w:rFonts w:eastAsia="仿宋_GB2312"/>
          <w:sz w:val="32"/>
          <w:szCs w:val="32"/>
        </w:rPr>
      </w:pP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p>
    <w:p w14:paraId="3D9CEBCE">
      <w:pPr>
        <w:spacing w:line="560" w:lineRule="exact"/>
        <w:ind w:firstLine="640" w:firstLineChars="200"/>
        <w:rPr>
          <w:rFonts w:eastAsia="仿宋_GB2312"/>
          <w:sz w:val="32"/>
          <w:szCs w:val="32"/>
        </w:rPr>
      </w:pPr>
      <w:r>
        <w:rPr>
          <w:rFonts w:eastAsia="仿宋_GB2312"/>
          <w:sz w:val="32"/>
          <w:szCs w:val="32"/>
        </w:rPr>
        <w:t>在制度设计上，我们注重了制度的科学性与可操作性，确保制度能够切实指导项目的执行与管理。</w:t>
      </w:r>
    </w:p>
    <w:p w14:paraId="6E2D1127">
      <w:pPr>
        <w:spacing w:line="560" w:lineRule="exact"/>
        <w:ind w:firstLine="640" w:firstLineChars="200"/>
        <w:rPr>
          <w:rFonts w:eastAsia="仿宋_GB2312"/>
          <w:sz w:val="32"/>
          <w:szCs w:val="32"/>
        </w:rPr>
      </w:pPr>
      <w:r>
        <w:rPr>
          <w:rFonts w:eastAsia="仿宋_GB2312"/>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64635415">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159C7F7E">
      <w:pPr>
        <w:spacing w:line="600" w:lineRule="exact"/>
        <w:ind w:firstLine="640" w:firstLineChars="200"/>
        <w:outlineLvl w:val="0"/>
        <w:rPr>
          <w:rFonts w:eastAsia="仿宋_GB2312"/>
          <w:sz w:val="32"/>
          <w:szCs w:val="32"/>
        </w:rPr>
      </w:pPr>
      <w:r>
        <w:rPr>
          <w:rFonts w:eastAsia="仿宋_GB2312"/>
          <w:sz w:val="32"/>
          <w:szCs w:val="32"/>
        </w:rPr>
        <w:t>（2）制度执行有效性</w:t>
      </w:r>
    </w:p>
    <w:p w14:paraId="7EA5A377">
      <w:pPr>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577AEB57">
      <w:pPr>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574122A0">
      <w:pPr>
        <w:spacing w:line="560" w:lineRule="exact"/>
        <w:ind w:firstLine="640" w:firstLineChars="20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5D26F2EA">
      <w:pPr>
        <w:pStyle w:val="11"/>
        <w:numPr>
          <w:ilvl w:val="0"/>
          <w:numId w:val="4"/>
        </w:numPr>
        <w:spacing w:line="560" w:lineRule="exact"/>
        <w:ind w:left="197" w:leftChars="0" w:firstLine="643" w:firstLineChars="0"/>
        <w:rPr>
          <w:rFonts w:eastAsia="楷体_GB2312"/>
          <w:b/>
          <w:bCs/>
          <w:sz w:val="32"/>
          <w:szCs w:val="32"/>
        </w:rPr>
      </w:pPr>
      <w:bookmarkStart w:id="17" w:name="OLE_LINK22"/>
      <w:bookmarkStart w:id="18" w:name="OLE_LINK21"/>
      <w:r>
        <w:rPr>
          <w:rFonts w:eastAsia="楷体_GB2312"/>
          <w:b/>
          <w:bCs/>
          <w:sz w:val="32"/>
          <w:szCs w:val="32"/>
        </w:rPr>
        <w:t>项目产出情况</w:t>
      </w:r>
    </w:p>
    <w:p w14:paraId="559B83FE">
      <w:pPr>
        <w:spacing w:line="600" w:lineRule="exact"/>
        <w:ind w:firstLine="640" w:firstLineChars="200"/>
        <w:outlineLvl w:val="0"/>
        <w:rPr>
          <w:rFonts w:eastAsia="仿宋_GB2312"/>
          <w:sz w:val="32"/>
          <w:szCs w:val="32"/>
        </w:rPr>
      </w:pPr>
      <w:r>
        <w:rPr>
          <w:rFonts w:eastAsia="仿宋_GB2312"/>
          <w:sz w:val="32"/>
          <w:szCs w:val="32"/>
        </w:rPr>
        <w:t>项目产出类指标包括产出数量、产出质量、产出时效、产出成本四方面的内容，由</w:t>
      </w:r>
      <w:r>
        <w:rPr>
          <w:rFonts w:hint="eastAsia" w:eastAsia="仿宋_GB2312"/>
          <w:sz w:val="32"/>
          <w:szCs w:val="32"/>
        </w:rPr>
        <w:t>8</w:t>
      </w:r>
      <w:r>
        <w:rPr>
          <w:rFonts w:eastAsia="仿宋_GB2312"/>
          <w:sz w:val="32"/>
          <w:szCs w:val="32"/>
        </w:rPr>
        <w:t>个三级指标构成，权重分为</w:t>
      </w:r>
      <w:r>
        <w:rPr>
          <w:rFonts w:hint="eastAsia" w:eastAsia="仿宋_GB2312"/>
          <w:sz w:val="32"/>
          <w:szCs w:val="32"/>
          <w:lang w:val="en-US" w:eastAsia="zh-CN"/>
        </w:rPr>
        <w:t>40</w:t>
      </w:r>
      <w:r>
        <w:rPr>
          <w:rFonts w:eastAsia="仿宋_GB2312"/>
          <w:sz w:val="32"/>
          <w:szCs w:val="32"/>
        </w:rPr>
        <w:t>分，实际得分</w:t>
      </w:r>
      <w:r>
        <w:rPr>
          <w:rFonts w:hint="eastAsia" w:eastAsia="仿宋_GB2312"/>
          <w:sz w:val="32"/>
          <w:szCs w:val="32"/>
          <w:lang w:val="en-US" w:eastAsia="zh-CN"/>
        </w:rPr>
        <w:t>40</w:t>
      </w:r>
      <w:r>
        <w:rPr>
          <w:rFonts w:eastAsia="仿宋_GB2312"/>
          <w:sz w:val="32"/>
          <w:szCs w:val="32"/>
        </w:rPr>
        <w:t>分，得分率为</w:t>
      </w:r>
      <w:r>
        <w:rPr>
          <w:rFonts w:hint="eastAsia" w:eastAsia="仿宋_GB2312"/>
          <w:sz w:val="32"/>
          <w:szCs w:val="32"/>
        </w:rPr>
        <w:t>100</w:t>
      </w:r>
      <w:r>
        <w:rPr>
          <w:rFonts w:eastAsia="仿宋_GB2312"/>
          <w:sz w:val="32"/>
          <w:szCs w:val="32"/>
        </w:rPr>
        <w:t>%。具体产出指标完成情况如下：</w:t>
      </w:r>
    </w:p>
    <w:p w14:paraId="0367E827">
      <w:pPr>
        <w:spacing w:line="600" w:lineRule="exact"/>
        <w:ind w:firstLine="640" w:firstLineChars="200"/>
        <w:outlineLvl w:val="0"/>
        <w:rPr>
          <w:rFonts w:eastAsia="仿宋_GB2312"/>
          <w:sz w:val="32"/>
          <w:szCs w:val="32"/>
        </w:rPr>
      </w:pPr>
      <w:r>
        <w:rPr>
          <w:rFonts w:eastAsia="仿宋_GB2312"/>
          <w:sz w:val="32"/>
          <w:szCs w:val="32"/>
        </w:rPr>
        <w:t>数量指标：</w:t>
      </w:r>
    </w:p>
    <w:p w14:paraId="11E45BED">
      <w:pPr>
        <w:spacing w:line="600" w:lineRule="exact"/>
        <w:ind w:firstLine="640" w:firstLineChars="200"/>
        <w:outlineLvl w:val="0"/>
        <w:rPr>
          <w:rFonts w:hint="eastAsia" w:eastAsia="仿宋_GB2312"/>
          <w:sz w:val="32"/>
          <w:szCs w:val="32"/>
        </w:rPr>
      </w:pPr>
      <w:r>
        <w:rPr>
          <w:rFonts w:eastAsia="仿宋_GB2312"/>
          <w:sz w:val="32"/>
          <w:szCs w:val="32"/>
        </w:rPr>
        <w:t>指标1：《特克斯年鉴（2023）》出版数量，指标值：</w:t>
      </w:r>
      <w:r>
        <w:rPr>
          <w:rFonts w:hint="eastAsia" w:ascii="仿宋_GB2312" w:eastAsia="仿宋_GB2312"/>
          <w:sz w:val="32"/>
          <w:szCs w:val="32"/>
        </w:rPr>
        <w:t>≥</w:t>
      </w:r>
      <w:r>
        <w:rPr>
          <w:rFonts w:hint="eastAsia" w:eastAsia="仿宋_GB2312"/>
          <w:sz w:val="32"/>
          <w:szCs w:val="32"/>
        </w:rPr>
        <w:t>83本</w:t>
      </w:r>
      <w:r>
        <w:rPr>
          <w:rFonts w:eastAsia="仿宋_GB2312"/>
          <w:sz w:val="32"/>
          <w:szCs w:val="32"/>
        </w:rPr>
        <w:t>，</w:t>
      </w:r>
      <w:r>
        <w:rPr>
          <w:rFonts w:hint="eastAsia" w:eastAsia="仿宋_GB2312"/>
          <w:sz w:val="32"/>
          <w:szCs w:val="32"/>
        </w:rPr>
        <w:t>实际完成值：83</w:t>
      </w:r>
      <w:bookmarkStart w:id="19" w:name="OLE_LINK2"/>
      <w:r>
        <w:rPr>
          <w:rFonts w:hint="eastAsia" w:eastAsia="仿宋_GB2312"/>
          <w:sz w:val="32"/>
          <w:szCs w:val="32"/>
        </w:rPr>
        <w:t>本</w:t>
      </w:r>
      <w:bookmarkEnd w:id="19"/>
      <w:r>
        <w:rPr>
          <w:rFonts w:hint="eastAsia" w:eastAsia="仿宋_GB2312"/>
          <w:sz w:val="32"/>
          <w:szCs w:val="32"/>
        </w:rPr>
        <w:t>，</w:t>
      </w:r>
      <w:r>
        <w:rPr>
          <w:rFonts w:eastAsia="仿宋_GB2312"/>
          <w:sz w:val="32"/>
          <w:szCs w:val="32"/>
        </w:rPr>
        <w:t>指标完成率100 %</w:t>
      </w:r>
      <w:r>
        <w:rPr>
          <w:rFonts w:hint="eastAsia" w:eastAsia="仿宋_GB2312"/>
          <w:sz w:val="32"/>
          <w:szCs w:val="32"/>
        </w:rPr>
        <w:t>。</w:t>
      </w:r>
    </w:p>
    <w:p w14:paraId="29CE2ADC">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w:t>
      </w:r>
      <w:r>
        <w:rPr>
          <w:rFonts w:hint="eastAsia" w:eastAsia="仿宋_GB2312"/>
          <w:sz w:val="32"/>
          <w:szCs w:val="32"/>
        </w:rPr>
        <w:t>《中国共产党特克斯简史》评审次数</w:t>
      </w:r>
      <w:r>
        <w:rPr>
          <w:rFonts w:eastAsia="仿宋_GB2312"/>
          <w:sz w:val="32"/>
          <w:szCs w:val="32"/>
        </w:rPr>
        <w:t>，指标值：</w:t>
      </w:r>
      <w:r>
        <w:rPr>
          <w:rFonts w:hint="eastAsia" w:eastAsia="仿宋_GB2312"/>
          <w:sz w:val="32"/>
          <w:szCs w:val="32"/>
        </w:rPr>
        <w:t>=1次</w:t>
      </w:r>
      <w:r>
        <w:rPr>
          <w:rFonts w:eastAsia="仿宋_GB2312"/>
          <w:sz w:val="32"/>
          <w:szCs w:val="32"/>
        </w:rPr>
        <w:t>，</w:t>
      </w:r>
      <w:r>
        <w:rPr>
          <w:rFonts w:hint="eastAsia" w:eastAsia="仿宋_GB2312"/>
          <w:sz w:val="32"/>
          <w:szCs w:val="32"/>
        </w:rPr>
        <w:t>实际完成值：1次，</w:t>
      </w:r>
      <w:r>
        <w:rPr>
          <w:rFonts w:eastAsia="仿宋_GB2312"/>
          <w:sz w:val="32"/>
          <w:szCs w:val="32"/>
        </w:rPr>
        <w:t>指标完成率100 %，。</w:t>
      </w:r>
    </w:p>
    <w:p w14:paraId="7EE0C742">
      <w:pPr>
        <w:spacing w:line="600" w:lineRule="exact"/>
        <w:ind w:firstLine="640" w:firstLineChars="200"/>
        <w:outlineLvl w:val="0"/>
        <w:rPr>
          <w:rFonts w:eastAsia="仿宋_GB2312"/>
          <w:sz w:val="32"/>
          <w:szCs w:val="32"/>
        </w:rPr>
      </w:pPr>
      <w:r>
        <w:rPr>
          <w:rFonts w:eastAsia="仿宋_GB2312"/>
          <w:sz w:val="32"/>
          <w:szCs w:val="32"/>
        </w:rPr>
        <w:t>质量指标：</w:t>
      </w:r>
    </w:p>
    <w:p w14:paraId="3A9A7384">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1</w:t>
      </w:r>
      <w:r>
        <w:rPr>
          <w:rFonts w:eastAsia="仿宋_GB2312"/>
          <w:sz w:val="32"/>
          <w:szCs w:val="32"/>
        </w:rPr>
        <w:t>：</w:t>
      </w:r>
      <w:r>
        <w:rPr>
          <w:rFonts w:hint="eastAsia" w:eastAsia="仿宋_GB2312"/>
          <w:sz w:val="32"/>
          <w:szCs w:val="32"/>
        </w:rPr>
        <w:t>印刷合格率</w:t>
      </w:r>
      <w:r>
        <w:rPr>
          <w:rFonts w:eastAsia="仿宋_GB2312"/>
          <w:sz w:val="32"/>
          <w:szCs w:val="32"/>
        </w:rPr>
        <w:t>，指标值：</w:t>
      </w:r>
      <w:r>
        <w:rPr>
          <w:rFonts w:hint="eastAsia" w:ascii="仿宋_GB2312" w:eastAsia="仿宋_GB2312"/>
          <w:sz w:val="32"/>
          <w:szCs w:val="32"/>
        </w:rPr>
        <w:t>≥</w:t>
      </w:r>
      <w:r>
        <w:rPr>
          <w:rFonts w:hint="eastAsia" w:eastAsia="仿宋_GB2312"/>
          <w:sz w:val="32"/>
          <w:szCs w:val="32"/>
        </w:rPr>
        <w:t>98%</w:t>
      </w:r>
      <w:r>
        <w:rPr>
          <w:rFonts w:eastAsia="仿宋_GB2312"/>
          <w:sz w:val="32"/>
          <w:szCs w:val="32"/>
        </w:rPr>
        <w:t>，</w:t>
      </w:r>
      <w:r>
        <w:rPr>
          <w:rFonts w:hint="eastAsia" w:eastAsia="仿宋_GB2312"/>
          <w:sz w:val="32"/>
          <w:szCs w:val="32"/>
        </w:rPr>
        <w:t>实际完成值：98%，</w:t>
      </w:r>
      <w:r>
        <w:rPr>
          <w:rFonts w:eastAsia="仿宋_GB2312"/>
          <w:sz w:val="32"/>
          <w:szCs w:val="32"/>
        </w:rPr>
        <w:t>指标完成率100%</w:t>
      </w:r>
      <w:bookmarkStart w:id="20" w:name="OLE_LINK19"/>
      <w:r>
        <w:rPr>
          <w:rFonts w:eastAsia="仿宋_GB2312"/>
          <w:sz w:val="32"/>
          <w:szCs w:val="32"/>
        </w:rPr>
        <w:t>。</w:t>
      </w:r>
      <w:bookmarkEnd w:id="20"/>
    </w:p>
    <w:p w14:paraId="34893B36">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w:t>
      </w:r>
      <w:r>
        <w:rPr>
          <w:rFonts w:hint="eastAsia" w:eastAsia="仿宋_GB2312"/>
          <w:sz w:val="32"/>
          <w:szCs w:val="32"/>
        </w:rPr>
        <w:t>《中国共产党特克斯简史》评审通过率</w:t>
      </w:r>
      <w:r>
        <w:rPr>
          <w:rFonts w:eastAsia="仿宋_GB2312"/>
          <w:sz w:val="32"/>
          <w:szCs w:val="32"/>
        </w:rPr>
        <w:t>，指标值：</w:t>
      </w:r>
      <w:r>
        <w:rPr>
          <w:rFonts w:hint="eastAsia" w:ascii="仿宋_GB2312" w:eastAsia="仿宋_GB2312"/>
          <w:sz w:val="32"/>
          <w:szCs w:val="32"/>
        </w:rPr>
        <w:t>≥</w:t>
      </w:r>
      <w:r>
        <w:rPr>
          <w:rFonts w:hint="eastAsia" w:eastAsia="仿宋_GB2312"/>
          <w:sz w:val="32"/>
          <w:szCs w:val="32"/>
        </w:rPr>
        <w:t>98%</w:t>
      </w:r>
      <w:r>
        <w:rPr>
          <w:rFonts w:eastAsia="仿宋_GB2312"/>
          <w:sz w:val="32"/>
          <w:szCs w:val="32"/>
        </w:rPr>
        <w:t>，</w:t>
      </w:r>
      <w:r>
        <w:rPr>
          <w:rFonts w:hint="eastAsia" w:eastAsia="仿宋_GB2312"/>
          <w:sz w:val="32"/>
          <w:szCs w:val="32"/>
        </w:rPr>
        <w:t>实际完成值：98%，</w:t>
      </w:r>
      <w:r>
        <w:rPr>
          <w:rFonts w:eastAsia="仿宋_GB2312"/>
          <w:sz w:val="32"/>
          <w:szCs w:val="32"/>
        </w:rPr>
        <w:t>指标完成率100%。</w:t>
      </w:r>
    </w:p>
    <w:p w14:paraId="02B5506E">
      <w:pPr>
        <w:spacing w:line="600" w:lineRule="exact"/>
        <w:ind w:firstLine="640" w:firstLineChars="200"/>
        <w:outlineLvl w:val="0"/>
        <w:rPr>
          <w:rFonts w:eastAsia="仿宋_GB2312"/>
          <w:sz w:val="32"/>
          <w:szCs w:val="32"/>
        </w:rPr>
      </w:pPr>
      <w:r>
        <w:rPr>
          <w:rFonts w:hint="eastAsia" w:eastAsia="仿宋_GB2312"/>
          <w:sz w:val="32"/>
          <w:szCs w:val="32"/>
        </w:rPr>
        <w:t>时效</w:t>
      </w:r>
      <w:r>
        <w:rPr>
          <w:rFonts w:eastAsia="仿宋_GB2312"/>
          <w:sz w:val="32"/>
          <w:szCs w:val="32"/>
        </w:rPr>
        <w:t>指标：</w:t>
      </w:r>
    </w:p>
    <w:p w14:paraId="556351D5">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1</w:t>
      </w:r>
      <w:r>
        <w:rPr>
          <w:rFonts w:eastAsia="仿宋_GB2312"/>
          <w:sz w:val="32"/>
          <w:szCs w:val="32"/>
        </w:rPr>
        <w:t>：</w:t>
      </w:r>
      <w:r>
        <w:rPr>
          <w:rFonts w:hint="eastAsia" w:eastAsia="仿宋_GB2312"/>
          <w:sz w:val="32"/>
          <w:szCs w:val="32"/>
        </w:rPr>
        <w:t>出版费用支付及时性</w:t>
      </w:r>
      <w:r>
        <w:rPr>
          <w:rFonts w:eastAsia="仿宋_GB2312"/>
          <w:sz w:val="32"/>
          <w:szCs w:val="32"/>
        </w:rPr>
        <w:t>，指标值：</w:t>
      </w:r>
      <w:r>
        <w:rPr>
          <w:rFonts w:hint="eastAsia" w:ascii="仿宋_GB2312" w:eastAsia="仿宋_GB2312"/>
          <w:sz w:val="32"/>
          <w:szCs w:val="32"/>
        </w:rPr>
        <w:t>≥</w:t>
      </w:r>
      <w:r>
        <w:rPr>
          <w:rFonts w:hint="eastAsia" w:eastAsia="仿宋_GB2312"/>
          <w:sz w:val="32"/>
          <w:szCs w:val="32"/>
        </w:rPr>
        <w:t>98%</w:t>
      </w:r>
      <w:r>
        <w:rPr>
          <w:rFonts w:eastAsia="仿宋_GB2312"/>
          <w:sz w:val="32"/>
          <w:szCs w:val="32"/>
        </w:rPr>
        <w:t>，</w:t>
      </w:r>
      <w:r>
        <w:rPr>
          <w:rFonts w:hint="eastAsia" w:eastAsia="仿宋_GB2312"/>
          <w:sz w:val="32"/>
          <w:szCs w:val="32"/>
        </w:rPr>
        <w:t>实际完成值：98%，</w:t>
      </w:r>
      <w:r>
        <w:rPr>
          <w:rFonts w:eastAsia="仿宋_GB2312"/>
          <w:sz w:val="32"/>
          <w:szCs w:val="32"/>
        </w:rPr>
        <w:t>指标完成率100%。</w:t>
      </w:r>
    </w:p>
    <w:p w14:paraId="05556BD4">
      <w:pPr>
        <w:spacing w:line="600" w:lineRule="exact"/>
        <w:ind w:firstLine="640" w:firstLineChars="200"/>
        <w:outlineLvl w:val="0"/>
        <w:rPr>
          <w:rFonts w:hint="eastAsia"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w:t>
      </w:r>
      <w:r>
        <w:rPr>
          <w:rFonts w:hint="eastAsia" w:eastAsia="仿宋_GB2312"/>
          <w:sz w:val="32"/>
          <w:szCs w:val="32"/>
        </w:rPr>
        <w:t>《中国共产党特克斯简史》评审按期完成率</w:t>
      </w:r>
      <w:r>
        <w:rPr>
          <w:rFonts w:eastAsia="仿宋_GB2312"/>
          <w:sz w:val="32"/>
          <w:szCs w:val="32"/>
        </w:rPr>
        <w:t>，指标值：</w:t>
      </w:r>
      <w:r>
        <w:rPr>
          <w:rFonts w:hint="eastAsia" w:ascii="仿宋_GB2312" w:eastAsia="仿宋_GB2312"/>
          <w:sz w:val="32"/>
          <w:szCs w:val="32"/>
        </w:rPr>
        <w:t>≥</w:t>
      </w:r>
      <w:r>
        <w:rPr>
          <w:rFonts w:hint="eastAsia" w:eastAsia="仿宋_GB2312"/>
          <w:sz w:val="32"/>
          <w:szCs w:val="32"/>
        </w:rPr>
        <w:t>98%</w:t>
      </w:r>
      <w:r>
        <w:rPr>
          <w:rFonts w:eastAsia="仿宋_GB2312"/>
          <w:sz w:val="32"/>
          <w:szCs w:val="32"/>
        </w:rPr>
        <w:t>，</w:t>
      </w:r>
      <w:r>
        <w:rPr>
          <w:rFonts w:hint="eastAsia" w:eastAsia="仿宋_GB2312"/>
          <w:sz w:val="32"/>
          <w:szCs w:val="32"/>
        </w:rPr>
        <w:t>实际完成值：98%，</w:t>
      </w:r>
      <w:r>
        <w:rPr>
          <w:rFonts w:eastAsia="仿宋_GB2312"/>
          <w:sz w:val="32"/>
          <w:szCs w:val="32"/>
        </w:rPr>
        <w:t>指标完成率100%。</w:t>
      </w:r>
    </w:p>
    <w:p w14:paraId="0915274E">
      <w:pPr>
        <w:spacing w:line="600" w:lineRule="exact"/>
        <w:ind w:firstLine="640" w:firstLineChars="200"/>
        <w:outlineLvl w:val="0"/>
        <w:rPr>
          <w:rFonts w:hint="eastAsia" w:eastAsia="仿宋_GB2312"/>
          <w:sz w:val="32"/>
          <w:szCs w:val="32"/>
        </w:rPr>
      </w:pPr>
      <w:r>
        <w:rPr>
          <w:rFonts w:eastAsia="仿宋_GB2312"/>
          <w:sz w:val="32"/>
          <w:szCs w:val="32"/>
        </w:rPr>
        <w:t>成本指标：</w:t>
      </w:r>
    </w:p>
    <w:p w14:paraId="3C4EC737">
      <w:pPr>
        <w:spacing w:line="600" w:lineRule="exact"/>
        <w:ind w:firstLine="640" w:firstLineChars="200"/>
        <w:outlineLvl w:val="0"/>
        <w:rPr>
          <w:rFonts w:hint="eastAsia" w:eastAsia="仿宋_GB2312"/>
          <w:sz w:val="32"/>
          <w:szCs w:val="32"/>
        </w:rPr>
      </w:pPr>
      <w:r>
        <w:rPr>
          <w:rFonts w:eastAsia="仿宋_GB2312"/>
          <w:sz w:val="32"/>
          <w:szCs w:val="32"/>
        </w:rPr>
        <w:t>指标</w:t>
      </w:r>
      <w:r>
        <w:rPr>
          <w:rFonts w:hint="eastAsia" w:eastAsia="仿宋_GB2312"/>
          <w:sz w:val="32"/>
          <w:szCs w:val="32"/>
        </w:rPr>
        <w:t>1</w:t>
      </w:r>
      <w:r>
        <w:rPr>
          <w:rFonts w:eastAsia="仿宋_GB2312"/>
          <w:sz w:val="32"/>
          <w:szCs w:val="32"/>
        </w:rPr>
        <w:t>：</w:t>
      </w:r>
      <w:r>
        <w:rPr>
          <w:rFonts w:hint="eastAsia" w:eastAsia="仿宋_GB2312"/>
          <w:sz w:val="32"/>
          <w:szCs w:val="32"/>
        </w:rPr>
        <w:t>《特克斯年鉴》（2023）出版印刷成本，</w:t>
      </w:r>
      <w:r>
        <w:rPr>
          <w:rFonts w:eastAsia="仿宋_GB2312"/>
          <w:sz w:val="32"/>
          <w:szCs w:val="32"/>
        </w:rPr>
        <w:t>指标值：</w:t>
      </w:r>
      <w:r>
        <w:rPr>
          <w:rFonts w:hint="eastAsia" w:ascii="仿宋_GB2312" w:eastAsia="仿宋_GB2312"/>
          <w:sz w:val="32"/>
          <w:szCs w:val="32"/>
        </w:rPr>
        <w:t>≤227元／本，实际完成值：227元／本，</w:t>
      </w:r>
      <w:r>
        <w:rPr>
          <w:rFonts w:eastAsia="仿宋_GB2312"/>
          <w:sz w:val="32"/>
          <w:szCs w:val="32"/>
        </w:rPr>
        <w:t>指标完成率100%。</w:t>
      </w:r>
    </w:p>
    <w:p w14:paraId="3E14DD0C">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2：《中国共产党特克斯简史》评审成本，</w:t>
      </w:r>
      <w:r>
        <w:rPr>
          <w:rFonts w:eastAsia="仿宋_GB2312"/>
          <w:sz w:val="32"/>
          <w:szCs w:val="32"/>
        </w:rPr>
        <w:t>指标值：</w:t>
      </w:r>
      <w:r>
        <w:rPr>
          <w:rFonts w:hint="eastAsia" w:ascii="仿宋_GB2312" w:eastAsia="仿宋_GB2312"/>
          <w:sz w:val="32"/>
          <w:szCs w:val="32"/>
        </w:rPr>
        <w:t>≤11502元／本，实际完成值：11502元／本，</w:t>
      </w:r>
      <w:r>
        <w:rPr>
          <w:rFonts w:eastAsia="仿宋_GB2312"/>
          <w:sz w:val="32"/>
          <w:szCs w:val="32"/>
        </w:rPr>
        <w:t>指标完成率100%。</w:t>
      </w:r>
      <w:bookmarkEnd w:id="17"/>
    </w:p>
    <w:p w14:paraId="719AFB56">
      <w:pPr>
        <w:spacing w:line="600" w:lineRule="exact"/>
        <w:ind w:firstLine="643" w:firstLineChars="200"/>
        <w:outlineLvl w:val="0"/>
        <w:rPr>
          <w:rFonts w:eastAsia="楷体_GB2312"/>
          <w:b/>
          <w:bCs/>
          <w:sz w:val="32"/>
          <w:szCs w:val="32"/>
        </w:rPr>
      </w:pPr>
      <w:bookmarkStart w:id="21" w:name="OLE_LINK23"/>
      <w:r>
        <w:rPr>
          <w:rFonts w:hint="eastAsia" w:eastAsia="楷体_GB2312"/>
          <w:b/>
          <w:bCs/>
          <w:sz w:val="32"/>
          <w:szCs w:val="32"/>
          <w:lang w:eastAsia="zh-CN"/>
        </w:rPr>
        <w:t>（四）</w:t>
      </w:r>
      <w:r>
        <w:rPr>
          <w:rFonts w:eastAsia="楷体_GB2312"/>
          <w:b/>
          <w:bCs/>
          <w:sz w:val="32"/>
          <w:szCs w:val="32"/>
        </w:rPr>
        <w:t>项目效益情况</w:t>
      </w:r>
    </w:p>
    <w:p w14:paraId="730D2BAD">
      <w:pPr>
        <w:spacing w:line="600" w:lineRule="exact"/>
        <w:ind w:firstLine="640" w:firstLineChars="200"/>
        <w:outlineLvl w:val="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2</w:t>
      </w:r>
      <w:r>
        <w:rPr>
          <w:rFonts w:eastAsia="仿宋_GB2312"/>
          <w:sz w:val="32"/>
          <w:szCs w:val="32"/>
        </w:rPr>
        <w:t>个三级指标构成，权重分为</w:t>
      </w:r>
      <w:r>
        <w:rPr>
          <w:rFonts w:hint="eastAsia" w:eastAsia="仿宋_GB2312"/>
          <w:sz w:val="32"/>
          <w:szCs w:val="32"/>
          <w:lang w:val="en-US" w:eastAsia="zh-CN"/>
        </w:rPr>
        <w:t>20</w:t>
      </w:r>
      <w:r>
        <w:rPr>
          <w:rFonts w:eastAsia="仿宋_GB2312"/>
          <w:sz w:val="32"/>
          <w:szCs w:val="32"/>
        </w:rPr>
        <w:t>分，实际得分</w:t>
      </w:r>
      <w:r>
        <w:rPr>
          <w:rFonts w:hint="eastAsia" w:eastAsia="仿宋_GB2312"/>
          <w:sz w:val="32"/>
          <w:szCs w:val="32"/>
          <w:lang w:val="en-US" w:eastAsia="zh-CN"/>
        </w:rPr>
        <w:t>2</w:t>
      </w:r>
      <w:r>
        <w:rPr>
          <w:rFonts w:hint="eastAsia" w:eastAsia="仿宋_GB2312"/>
          <w:sz w:val="32"/>
          <w:szCs w:val="32"/>
        </w:rPr>
        <w:t>0</w:t>
      </w:r>
      <w:r>
        <w:rPr>
          <w:rFonts w:eastAsia="仿宋_GB2312"/>
          <w:sz w:val="32"/>
          <w:szCs w:val="32"/>
        </w:rPr>
        <w:t>分，得分率为</w:t>
      </w:r>
      <w:r>
        <w:rPr>
          <w:rFonts w:hint="eastAsia" w:eastAsia="仿宋_GB2312"/>
          <w:sz w:val="32"/>
          <w:szCs w:val="32"/>
        </w:rPr>
        <w:t>100</w:t>
      </w:r>
      <w:r>
        <w:rPr>
          <w:rFonts w:eastAsia="仿宋_GB2312"/>
          <w:sz w:val="32"/>
          <w:szCs w:val="32"/>
        </w:rPr>
        <w:t>%。具体效益指标及满意度指标完成情况如下：</w:t>
      </w:r>
    </w:p>
    <w:p w14:paraId="2F1CBB0A">
      <w:pPr>
        <w:spacing w:line="600" w:lineRule="exact"/>
        <w:ind w:firstLine="640" w:firstLineChars="200"/>
        <w:outlineLvl w:val="0"/>
        <w:rPr>
          <w:rFonts w:eastAsia="仿宋_GB2312"/>
          <w:sz w:val="32"/>
          <w:szCs w:val="32"/>
        </w:rPr>
      </w:pPr>
      <w:r>
        <w:rPr>
          <w:rFonts w:eastAsia="仿宋_GB2312"/>
          <w:sz w:val="32"/>
          <w:szCs w:val="32"/>
        </w:rPr>
        <w:t>1.实施效益</w:t>
      </w:r>
    </w:p>
    <w:p w14:paraId="3E039751">
      <w:pPr>
        <w:spacing w:line="600" w:lineRule="exact"/>
        <w:ind w:firstLine="640" w:firstLineChars="200"/>
        <w:outlineLvl w:val="0"/>
        <w:rPr>
          <w:rFonts w:eastAsia="仿宋_GB2312"/>
          <w:sz w:val="32"/>
          <w:szCs w:val="32"/>
        </w:rPr>
      </w:pPr>
      <w:r>
        <w:rPr>
          <w:rFonts w:eastAsia="仿宋_GB2312"/>
          <w:sz w:val="32"/>
          <w:szCs w:val="32"/>
        </w:rPr>
        <w:t>社会效益指标：</w:t>
      </w:r>
    </w:p>
    <w:p w14:paraId="1DB17523">
      <w:pPr>
        <w:spacing w:line="600" w:lineRule="exact"/>
        <w:ind w:firstLine="640" w:firstLineChars="200"/>
        <w:outlineLvl w:val="0"/>
        <w:rPr>
          <w:rFonts w:eastAsia="仿宋_GB2312"/>
          <w:sz w:val="32"/>
          <w:szCs w:val="32"/>
        </w:rPr>
      </w:pPr>
      <w:r>
        <w:rPr>
          <w:rFonts w:hint="eastAsia" w:eastAsia="仿宋_GB2312"/>
          <w:sz w:val="32"/>
          <w:szCs w:val="32"/>
        </w:rPr>
        <w:t>指标1：利用书籍进行党史和地方史学习，</w:t>
      </w:r>
      <w:r>
        <w:rPr>
          <w:rFonts w:eastAsia="仿宋_GB2312"/>
          <w:sz w:val="32"/>
          <w:szCs w:val="32"/>
        </w:rPr>
        <w:t>指标值：</w:t>
      </w:r>
      <w:r>
        <w:rPr>
          <w:rFonts w:hint="eastAsia" w:eastAsia="仿宋_GB2312"/>
          <w:sz w:val="32"/>
          <w:szCs w:val="32"/>
        </w:rPr>
        <w:t>有所提升</w:t>
      </w:r>
      <w:r>
        <w:rPr>
          <w:rFonts w:hint="eastAsia" w:ascii="仿宋_GB2312" w:eastAsia="仿宋_GB2312"/>
          <w:sz w:val="32"/>
          <w:szCs w:val="32"/>
        </w:rPr>
        <w:t>，实际完成值：有所提升，</w:t>
      </w:r>
      <w:r>
        <w:rPr>
          <w:rFonts w:eastAsia="仿宋_GB2312"/>
          <w:sz w:val="32"/>
          <w:szCs w:val="32"/>
        </w:rPr>
        <w:t>指标完成率100%。</w:t>
      </w:r>
    </w:p>
    <w:p w14:paraId="503882ED">
      <w:pPr>
        <w:spacing w:line="600" w:lineRule="exact"/>
        <w:ind w:firstLine="640" w:firstLineChars="200"/>
        <w:outlineLvl w:val="0"/>
        <w:rPr>
          <w:rFonts w:eastAsia="仿宋_GB2312"/>
          <w:sz w:val="32"/>
          <w:szCs w:val="32"/>
        </w:rPr>
      </w:pPr>
      <w:r>
        <w:rPr>
          <w:rFonts w:eastAsia="仿宋_GB2312"/>
          <w:sz w:val="32"/>
          <w:szCs w:val="32"/>
        </w:rPr>
        <w:t>2.</w:t>
      </w:r>
      <w:bookmarkStart w:id="22" w:name="OLE_LINK15"/>
      <w:r>
        <w:rPr>
          <w:rFonts w:eastAsia="仿宋_GB2312"/>
          <w:sz w:val="32"/>
          <w:szCs w:val="32"/>
        </w:rPr>
        <w:t>满意度</w:t>
      </w:r>
      <w:bookmarkEnd w:id="22"/>
    </w:p>
    <w:p w14:paraId="0FF21CBA">
      <w:pPr>
        <w:spacing w:line="600" w:lineRule="exact"/>
        <w:ind w:firstLine="640" w:firstLineChars="200"/>
        <w:outlineLvl w:val="0"/>
        <w:rPr>
          <w:rFonts w:hint="eastAsia" w:eastAsia="仿宋_GB2312"/>
          <w:sz w:val="32"/>
          <w:szCs w:val="32"/>
        </w:rPr>
      </w:pPr>
      <w:r>
        <w:rPr>
          <w:rFonts w:hint="eastAsia" w:eastAsia="仿宋_GB2312"/>
          <w:sz w:val="32"/>
          <w:szCs w:val="32"/>
        </w:rPr>
        <w:t>满意度指标：</w:t>
      </w:r>
    </w:p>
    <w:p w14:paraId="6E41A813">
      <w:pPr>
        <w:spacing w:line="600" w:lineRule="exact"/>
        <w:ind w:firstLine="640" w:firstLineChars="200"/>
        <w:outlineLvl w:val="0"/>
        <w:rPr>
          <w:rFonts w:eastAsia="仿宋_GB2312"/>
          <w:sz w:val="32"/>
          <w:szCs w:val="32"/>
          <w:highlight w:val="none"/>
        </w:rPr>
      </w:pPr>
      <w:r>
        <w:rPr>
          <w:rFonts w:hint="eastAsia" w:eastAsia="仿宋_GB2312"/>
          <w:sz w:val="32"/>
          <w:szCs w:val="32"/>
        </w:rPr>
        <w:t>指标1：读者</w:t>
      </w:r>
      <w:r>
        <w:rPr>
          <w:rFonts w:eastAsia="仿宋_GB2312"/>
          <w:sz w:val="32"/>
          <w:szCs w:val="32"/>
        </w:rPr>
        <w:t>满意度</w:t>
      </w:r>
      <w:r>
        <w:rPr>
          <w:rFonts w:hint="eastAsia" w:eastAsia="仿宋_GB2312"/>
          <w:sz w:val="32"/>
          <w:szCs w:val="32"/>
        </w:rPr>
        <w:t>100%，</w:t>
      </w:r>
      <w:r>
        <w:rPr>
          <w:rFonts w:eastAsia="仿宋_GB2312"/>
          <w:sz w:val="32"/>
          <w:szCs w:val="32"/>
        </w:rPr>
        <w:t>指标值：</w:t>
      </w:r>
      <w:r>
        <w:rPr>
          <w:rFonts w:hint="eastAsia" w:ascii="仿宋_GB2312" w:eastAsia="仿宋_GB2312"/>
          <w:sz w:val="32"/>
          <w:szCs w:val="32"/>
        </w:rPr>
        <w:t>≥</w:t>
      </w:r>
      <w:r>
        <w:rPr>
          <w:rFonts w:hint="eastAsia" w:eastAsia="仿宋_GB2312"/>
          <w:sz w:val="32"/>
          <w:szCs w:val="32"/>
        </w:rPr>
        <w:t>95%</w:t>
      </w:r>
      <w:r>
        <w:rPr>
          <w:rFonts w:hint="eastAsia" w:ascii="仿宋_GB2312" w:eastAsia="仿宋_GB2312"/>
          <w:sz w:val="32"/>
          <w:szCs w:val="32"/>
        </w:rPr>
        <w:t>，实际完成值：100%，</w:t>
      </w:r>
      <w:r>
        <w:rPr>
          <w:rFonts w:eastAsia="仿宋_GB2312"/>
          <w:sz w:val="32"/>
          <w:szCs w:val="32"/>
          <w:highlight w:val="none"/>
        </w:rPr>
        <w:t>指标完成率10</w:t>
      </w:r>
      <w:r>
        <w:rPr>
          <w:rFonts w:hint="eastAsia" w:eastAsia="仿宋_GB2312"/>
          <w:sz w:val="32"/>
          <w:szCs w:val="32"/>
          <w:highlight w:val="none"/>
        </w:rPr>
        <w:t>5.26</w:t>
      </w:r>
      <w:r>
        <w:rPr>
          <w:rFonts w:eastAsia="仿宋_GB2312"/>
          <w:sz w:val="32"/>
          <w:szCs w:val="32"/>
          <w:highlight w:val="none"/>
        </w:rPr>
        <w:t>%。</w:t>
      </w:r>
      <w:r>
        <w:rPr>
          <w:rFonts w:hint="eastAsia" w:eastAsia="仿宋_GB2312"/>
          <w:sz w:val="32"/>
          <w:szCs w:val="32"/>
          <w:highlight w:val="none"/>
        </w:rPr>
        <w:t>偏差原因：本年度《特克斯年鉴》（2023）出版工作完成较好，读者满意度较高，超出了预期指标。解决措施：下一年度将从严从高设置绩效目标。</w:t>
      </w:r>
    </w:p>
    <w:p w14:paraId="0BBAEA57">
      <w:pPr>
        <w:spacing w:line="600" w:lineRule="exact"/>
        <w:ind w:firstLine="643" w:firstLineChars="200"/>
        <w:outlineLvl w:val="0"/>
        <w:rPr>
          <w:rFonts w:eastAsia="楷体_GB2312"/>
          <w:b/>
          <w:bCs/>
          <w:sz w:val="32"/>
          <w:szCs w:val="32"/>
        </w:rPr>
      </w:pPr>
      <w:r>
        <w:rPr>
          <w:rFonts w:eastAsia="楷体_GB2312"/>
          <w:b/>
          <w:bCs/>
          <w:sz w:val="32"/>
          <w:szCs w:val="32"/>
        </w:rPr>
        <w:t>（五）预算执行进度与绩效指标总体完成率偏差</w:t>
      </w:r>
    </w:p>
    <w:p w14:paraId="6D944036">
      <w:pPr>
        <w:pStyle w:val="21"/>
        <w:spacing w:line="560" w:lineRule="exact"/>
        <w:ind w:firstLine="640"/>
        <w:rPr>
          <w:rFonts w:eastAsia="仿宋_GB2312"/>
          <w:kern w:val="2"/>
          <w:sz w:val="32"/>
          <w:szCs w:val="32"/>
        </w:rPr>
      </w:pPr>
      <w:r>
        <w:rPr>
          <w:rFonts w:hint="eastAsia" w:eastAsia="仿宋_GB2312"/>
          <w:kern w:val="2"/>
          <w:sz w:val="32"/>
          <w:szCs w:val="32"/>
        </w:rPr>
        <w:t>《中国共产党特克斯县简史》评审与《特克斯年鉴（2023）》出版印刷经费（本级）项目年初预算3.04万元，全年预算3.04万元，实际支出3.04万元，预算执行率为100%，项目绩效指标总体完成率为100%，总体偏差率为0%。</w:t>
      </w:r>
      <w:bookmarkEnd w:id="18"/>
      <w:bookmarkEnd w:id="21"/>
    </w:p>
    <w:p w14:paraId="371D80D6">
      <w:pPr>
        <w:spacing w:line="560" w:lineRule="exact"/>
        <w:ind w:firstLine="640" w:firstLineChars="200"/>
        <w:rPr>
          <w:rStyle w:val="20"/>
          <w:rFonts w:ascii="Times New Roman" w:hAnsi="Times New Roman" w:cs="Times New Roman"/>
          <w:color w:val="auto"/>
        </w:rPr>
      </w:pPr>
      <w:r>
        <w:rPr>
          <w:rFonts w:hint="eastAsia" w:eastAsia="黑体"/>
          <w:sz w:val="32"/>
          <w:szCs w:val="32"/>
        </w:rPr>
        <w:t>五</w:t>
      </w:r>
      <w:r>
        <w:rPr>
          <w:rFonts w:eastAsia="仿宋_GB2312"/>
          <w:b/>
          <w:bCs/>
          <w:sz w:val="32"/>
          <w:szCs w:val="32"/>
        </w:rPr>
        <w:t>.</w:t>
      </w:r>
      <w:r>
        <w:rPr>
          <w:rFonts w:eastAsia="黑体"/>
          <w:sz w:val="32"/>
          <w:szCs w:val="32"/>
        </w:rPr>
        <w:t>主要经验及做法、存在的问题及原因分析</w:t>
      </w:r>
    </w:p>
    <w:p w14:paraId="30312605">
      <w:pPr>
        <w:spacing w:line="560" w:lineRule="exact"/>
        <w:ind w:firstLine="627" w:firstLineChars="200"/>
        <w:rPr>
          <w:rFonts w:eastAsia="楷体"/>
          <w:b/>
          <w:spacing w:val="-4"/>
          <w:sz w:val="32"/>
          <w:szCs w:val="32"/>
        </w:rPr>
      </w:pPr>
      <w:r>
        <w:rPr>
          <w:rFonts w:eastAsia="楷体"/>
          <w:b/>
          <w:spacing w:val="-4"/>
          <w:sz w:val="32"/>
          <w:szCs w:val="32"/>
        </w:rPr>
        <w:t>（一）</w:t>
      </w:r>
      <w:bookmarkStart w:id="23" w:name="OLE_LINK24"/>
      <w:r>
        <w:rPr>
          <w:rFonts w:eastAsia="楷体"/>
          <w:b/>
          <w:spacing w:val="-4"/>
          <w:sz w:val="32"/>
          <w:szCs w:val="32"/>
        </w:rPr>
        <w:t>主要经验及做法</w:t>
      </w:r>
    </w:p>
    <w:p w14:paraId="15502A2B">
      <w:pPr>
        <w:spacing w:line="56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民意调查及项目防范工作。</w:t>
      </w:r>
    </w:p>
    <w:p w14:paraId="691CA395">
      <w:pPr>
        <w:pStyle w:val="10"/>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w:t>
      </w:r>
      <w:r>
        <w:rPr>
          <w:rFonts w:hint="eastAsia" w:ascii="Times New Roman" w:hAnsi="Times New Roman" w:eastAsia="仿宋_GB2312"/>
          <w:b w:val="0"/>
          <w:bCs w:val="0"/>
          <w:kern w:val="2"/>
        </w:rPr>
        <w:t>杜绝</w:t>
      </w:r>
      <w:r>
        <w:rPr>
          <w:rFonts w:ascii="Times New Roman" w:hAnsi="Times New Roman" w:eastAsia="仿宋_GB2312"/>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45D1CF7">
      <w:pPr>
        <w:keepNext/>
        <w:keepLines/>
        <w:numPr>
          <w:ilvl w:val="0"/>
          <w:numId w:val="5"/>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17A74B71">
      <w:pPr>
        <w:spacing w:line="600" w:lineRule="exact"/>
        <w:ind w:firstLine="640" w:firstLineChars="200"/>
        <w:outlineLvl w:val="0"/>
        <w:rPr>
          <w:rFonts w:eastAsia="仿宋_GB2312"/>
          <w:sz w:val="32"/>
          <w:szCs w:val="32"/>
        </w:rPr>
      </w:pPr>
      <w:r>
        <w:rPr>
          <w:rFonts w:eastAsia="仿宋_GB2312"/>
          <w:sz w:val="32"/>
          <w:szCs w:val="32"/>
        </w:rPr>
        <w:t>1.相关绩效管理方面专业知识的系统性学习有待加强。各项指标的设置要进一步优化、完善，主要在细化、量化上改进。在绩效自评过程中，</w:t>
      </w:r>
      <w:r>
        <w:rPr>
          <w:rFonts w:eastAsia="仿宋_GB2312"/>
          <w:sz w:val="32"/>
          <w:szCs w:val="32"/>
          <w:lang w:val="en-US" w:eastAsia="zh-CN"/>
        </w:rPr>
        <w:t>由于部分人员</w:t>
      </w:r>
      <w:r>
        <w:rPr>
          <w:rFonts w:eastAsia="仿宋_GB2312"/>
          <w:sz w:val="32"/>
          <w:szCs w:val="32"/>
        </w:rPr>
        <w:t>缺乏相关绩效管理专业知识，自评价工作还存在自我审定的局限性，影响评价质量。</w:t>
      </w:r>
      <w:bookmarkEnd w:id="23"/>
    </w:p>
    <w:p w14:paraId="01A3EFBD">
      <w:pPr>
        <w:spacing w:line="560" w:lineRule="exact"/>
        <w:ind w:firstLine="640" w:firstLineChars="200"/>
        <w:rPr>
          <w:rFonts w:eastAsia="黑体"/>
          <w:sz w:val="32"/>
          <w:szCs w:val="32"/>
        </w:rPr>
      </w:pPr>
      <w:r>
        <w:rPr>
          <w:rFonts w:hint="eastAsia" w:eastAsia="黑体"/>
          <w:sz w:val="32"/>
          <w:szCs w:val="32"/>
        </w:rPr>
        <w:t>六</w:t>
      </w:r>
      <w:r>
        <w:rPr>
          <w:rFonts w:eastAsia="黑体"/>
          <w:sz w:val="32"/>
          <w:szCs w:val="32"/>
        </w:rPr>
        <w:t>.有关建议</w:t>
      </w:r>
    </w:p>
    <w:p w14:paraId="0178639A">
      <w:pPr>
        <w:spacing w:line="600" w:lineRule="exact"/>
        <w:ind w:firstLine="640" w:firstLineChars="200"/>
        <w:outlineLvl w:val="0"/>
        <w:rPr>
          <w:rFonts w:eastAsia="仿宋_GB2312"/>
          <w:sz w:val="32"/>
          <w:szCs w:val="32"/>
        </w:rPr>
      </w:pPr>
      <w:bookmarkStart w:id="24" w:name="OLE_LINK25"/>
      <w:r>
        <w:rPr>
          <w:rFonts w:eastAsia="仿宋_GB2312"/>
          <w:sz w:val="32"/>
          <w:szCs w:val="32"/>
        </w:rPr>
        <w:t>1.多进行有关绩效管理工作方面的培训。积极组织第三方开展绩效管理工作培训，进一步夯实业务基础，提高我单位绩效人员水平。</w:t>
      </w:r>
    </w:p>
    <w:p w14:paraId="45D8DE88">
      <w:pPr>
        <w:spacing w:line="600" w:lineRule="exact"/>
        <w:ind w:firstLine="640" w:firstLineChars="200"/>
        <w:outlineLvl w:val="0"/>
        <w:rPr>
          <w:rFonts w:eastAsia="仿宋_GB2312"/>
          <w:sz w:val="32"/>
          <w:szCs w:val="32"/>
        </w:rPr>
      </w:pPr>
      <w:r>
        <w:rPr>
          <w:rFonts w:eastAsia="仿宋_GB2312"/>
          <w:sz w:val="32"/>
          <w:szCs w:val="32"/>
        </w:rPr>
        <w:t>2.专门设定对绩效工作人员定职、定岗、定责等相关制度措施，进一步提升我单位绩效管理工作业务水平，扎实做好绩效管理工作。</w:t>
      </w:r>
    </w:p>
    <w:p w14:paraId="6CF7244C">
      <w:pPr>
        <w:spacing w:line="600" w:lineRule="exact"/>
        <w:ind w:firstLine="640" w:firstLineChars="200"/>
        <w:outlineLvl w:val="0"/>
        <w:rPr>
          <w:sz w:val="22"/>
          <w:szCs w:val="28"/>
        </w:rPr>
      </w:pPr>
      <w:r>
        <w:rPr>
          <w:rFonts w:hint="eastAsia" w:eastAsia="仿宋_GB2312"/>
          <w:sz w:val="32"/>
          <w:szCs w:val="32"/>
        </w:rPr>
        <w:t>3</w:t>
      </w:r>
      <w:r>
        <w:rPr>
          <w:rFonts w:eastAsia="仿宋_GB2312"/>
          <w:sz w:val="32"/>
          <w:szCs w:val="32"/>
        </w:rPr>
        <w:t>.进一步完善项目评价过程中有关数据和资料的收集、整理、审核及分析。项目启动时同步做好档案的归纳与整理，及时整理、收集、汇总，健全档案资料。项目后续管理有待进一步加强和跟踪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rPr>
        <w:t>。</w:t>
      </w:r>
    </w:p>
    <w:p w14:paraId="70C03BD9">
      <w:pPr>
        <w:spacing w:line="600" w:lineRule="exact"/>
        <w:ind w:firstLine="640" w:firstLineChars="200"/>
        <w:outlineLvl w:val="0"/>
        <w:rPr>
          <w:rFonts w:eastAsia="仿宋_GB2312"/>
          <w:sz w:val="32"/>
          <w:szCs w:val="32"/>
        </w:rPr>
      </w:pPr>
      <w:r>
        <w:rPr>
          <w:rFonts w:hint="eastAsia" w:eastAsia="仿宋_GB2312"/>
          <w:sz w:val="32"/>
          <w:szCs w:val="32"/>
        </w:rPr>
        <w:t>4</w:t>
      </w:r>
      <w:r>
        <w:rPr>
          <w:rFonts w:eastAsia="仿宋_GB2312"/>
          <w:sz w:val="32"/>
          <w:szCs w:val="32"/>
        </w:rPr>
        <w:t>.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bookmarkEnd w:id="24"/>
    </w:p>
    <w:p w14:paraId="6D315FAE">
      <w:pPr>
        <w:spacing w:line="560" w:lineRule="exact"/>
        <w:ind w:firstLine="640" w:firstLineChars="200"/>
        <w:rPr>
          <w:rFonts w:eastAsia="黑体"/>
          <w:sz w:val="32"/>
          <w:szCs w:val="32"/>
        </w:rPr>
      </w:pPr>
      <w:r>
        <w:rPr>
          <w:rFonts w:hint="eastAsia" w:eastAsia="黑体"/>
          <w:sz w:val="32"/>
          <w:szCs w:val="32"/>
        </w:rPr>
        <w:t>七</w:t>
      </w:r>
      <w:r>
        <w:rPr>
          <w:rFonts w:eastAsia="仿宋_GB2312"/>
          <w:b/>
          <w:bCs/>
          <w:sz w:val="32"/>
          <w:szCs w:val="32"/>
        </w:rPr>
        <w:t>.</w:t>
      </w:r>
      <w:r>
        <w:rPr>
          <w:rFonts w:eastAsia="黑体"/>
          <w:sz w:val="32"/>
          <w:szCs w:val="32"/>
        </w:rPr>
        <w:t>其他需要说</w:t>
      </w:r>
      <w:bookmarkStart w:id="25" w:name="page8"/>
      <w:bookmarkEnd w:id="25"/>
      <w:r>
        <w:rPr>
          <w:rFonts w:eastAsia="黑体"/>
          <w:sz w:val="32"/>
          <w:szCs w:val="32"/>
        </w:rPr>
        <w:t>明的问题</w:t>
      </w:r>
    </w:p>
    <w:p w14:paraId="4E6051A8">
      <w:pPr>
        <w:pStyle w:val="12"/>
        <w:spacing w:after="0" w:line="560" w:lineRule="exact"/>
        <w:ind w:left="0" w:leftChars="0" w:firstLine="640"/>
        <w:rPr>
          <w:rFonts w:ascii="Times New Roman" w:hAnsi="Times New Roman" w:eastAsia="仿宋_GB2312"/>
          <w:sz w:val="32"/>
          <w:szCs w:val="32"/>
        </w:rPr>
      </w:pPr>
      <w:bookmarkStart w:id="26" w:name="OLE_LINK26"/>
      <w:r>
        <w:rPr>
          <w:rFonts w:ascii="Times New Roman" w:hAnsi="Times New Roman" w:eastAsia="仿宋_GB2312"/>
          <w:sz w:val="32"/>
          <w:szCs w:val="32"/>
        </w:rPr>
        <w:t>本项目无其他需说明的问题。</w:t>
      </w:r>
      <w:bookmarkEnd w:id="26"/>
    </w:p>
    <w:p w14:paraId="00EAAFA7">
      <w:pPr>
        <w:pStyle w:val="12"/>
        <w:spacing w:after="0" w:line="560" w:lineRule="exact"/>
        <w:ind w:left="0" w:leftChars="0" w:firstLine="640"/>
        <w:rPr>
          <w:rFonts w:ascii="Times New Roman" w:hAnsi="Times New Roman" w:eastAsia="仿宋_GB2312"/>
          <w:sz w:val="32"/>
          <w:szCs w:val="32"/>
        </w:rPr>
      </w:pPr>
    </w:p>
    <w:p w14:paraId="03CDB2C6"/>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1BC6E30A">
        <w:pPr>
          <w:pStyle w:val="7"/>
          <w:jc w:val="center"/>
        </w:pPr>
        <w:r>
          <w:fldChar w:fldCharType="begin"/>
        </w:r>
        <w:r>
          <w:instrText xml:space="preserve">PAGE   \* MERGEFORMAT</w:instrText>
        </w:r>
        <w:r>
          <w:fldChar w:fldCharType="separate"/>
        </w:r>
        <w:r>
          <w:rPr>
            <w:lang w:val="zh-CN"/>
          </w:rPr>
          <w:t>27</w:t>
        </w:r>
        <w:r>
          <w:rPr>
            <w:lang w:val="zh-CN"/>
          </w:rPr>
          <w:fldChar w:fldCharType="end"/>
        </w:r>
      </w:p>
    </w:sdtContent>
  </w:sdt>
  <w:p w14:paraId="0F01CE65">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2"/>
      <w:numFmt w:val="chineseCounting"/>
      <w:suff w:val="nothing"/>
      <w:lvlText w:val="（%1）"/>
      <w:lvlJc w:val="left"/>
      <w:pPr>
        <w:ind w:left="197"/>
      </w:pPr>
      <w:rPr>
        <w:rFonts w:hint="eastAsia"/>
      </w:rPr>
    </w:lvl>
  </w:abstractNum>
  <w:abstractNum w:abstractNumId="2">
    <w:nsid w:val="CF092B84"/>
    <w:multiLevelType w:val="singleLevel"/>
    <w:tmpl w:val="CF092B84"/>
    <w:lvl w:ilvl="0" w:tentative="0">
      <w:start w:val="3"/>
      <w:numFmt w:val="chineseCounting"/>
      <w:suff w:val="nothing"/>
      <w:lvlText w:val="（%1）"/>
      <w:lvlJc w:val="left"/>
      <w:rPr>
        <w:rFonts w:hint="eastAsia"/>
      </w:rPr>
    </w:lvl>
  </w:abstractNum>
  <w:abstractNum w:abstractNumId="3">
    <w:nsid w:val="0053208E"/>
    <w:multiLevelType w:val="singleLevel"/>
    <w:tmpl w:val="0053208E"/>
    <w:lvl w:ilvl="0" w:tentative="0">
      <w:start w:val="1"/>
      <w:numFmt w:val="decimal"/>
      <w:suff w:val="nothing"/>
      <w:lvlText w:val="（%1）"/>
      <w:lvlJc w:val="left"/>
    </w:lvl>
  </w:abstractNum>
  <w:abstractNum w:abstractNumId="4">
    <w:nsid w:val="59ADCABA"/>
    <w:multiLevelType w:val="singleLevel"/>
    <w:tmpl w:val="59ADCABA"/>
    <w:lvl w:ilvl="0" w:tentative="0">
      <w:start w:val="3"/>
      <w:numFmt w:val="chineseCounting"/>
      <w:suff w:val="nothing"/>
      <w:lvlText w:val="%1、"/>
      <w:lvlJc w:val="left"/>
      <w:rPr>
        <w:rFonts w:hint="eastAsi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diOGM5NzlhN2JhOTc3OTljZTBmY2FhN2MzNTk3ODEifQ=="/>
  </w:docVars>
  <w:rsids>
    <w:rsidRoot w:val="00000000"/>
    <w:rsid w:val="0D8B3119"/>
    <w:rsid w:val="122A7112"/>
    <w:rsid w:val="58F81D44"/>
  </w:rsids>
  <m:mathPr>
    <m:mathFont m:val="Cambria Math"/>
    <m:brkBin m:val="before"/>
    <m:brkBinSub m:val="--"/>
    <m:smallFrac m:val="1"/>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2"/>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sz w:val="24"/>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Body Text First Indent"/>
    <w:basedOn w:val="2"/>
    <w:qFormat/>
    <w:uiPriority w:val="0"/>
    <w:pPr>
      <w:spacing w:after="0"/>
      <w:ind w:firstLine="200" w:firstLineChars="200"/>
    </w:pPr>
  </w:style>
  <w:style w:type="paragraph" w:styleId="12">
    <w:name w:val="Body Text First Indent 2"/>
    <w:basedOn w:val="5"/>
    <w:qFormat/>
    <w:uiPriority w:val="0"/>
    <w:pPr>
      <w:ind w:firstLine="420" w:firstLineChars="200"/>
    </w:pPr>
  </w:style>
  <w:style w:type="table" w:styleId="1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qFormat/>
    <w:uiPriority w:val="0"/>
    <w:rPr>
      <w:b/>
      <w:bCs/>
    </w:rPr>
  </w:style>
  <w:style w:type="paragraph" w:customStyle="1" w:styleId="17">
    <w:name w:val="Comment Text"/>
    <w:basedOn w:val="1"/>
    <w:link w:val="24"/>
    <w:qFormat/>
    <w:uiPriority w:val="0"/>
    <w:pPr>
      <w:jc w:val="left"/>
    </w:pPr>
  </w:style>
  <w:style w:type="paragraph" w:customStyle="1" w:styleId="18">
    <w:name w:val="Comment Subject"/>
    <w:basedOn w:val="17"/>
    <w:next w:val="17"/>
    <w:link w:val="25"/>
    <w:qFormat/>
    <w:uiPriority w:val="0"/>
    <w:rPr>
      <w:b/>
      <w:bCs/>
    </w:rPr>
  </w:style>
  <w:style w:type="character" w:customStyle="1" w:styleId="19">
    <w:name w:val="Comment Reference"/>
    <w:basedOn w:val="15"/>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Char"/>
    <w:basedOn w:val="15"/>
    <w:link w:val="6"/>
    <w:qFormat/>
    <w:uiPriority w:val="0"/>
    <w:rPr>
      <w:rFonts w:ascii="Times New Roman" w:hAnsi="Times New Roman" w:eastAsia="宋体" w:cs="Times New Roman"/>
      <w:kern w:val="2"/>
      <w:sz w:val="18"/>
      <w:szCs w:val="18"/>
    </w:rPr>
  </w:style>
  <w:style w:type="character" w:customStyle="1" w:styleId="23">
    <w:name w:val="页眉 Char"/>
    <w:basedOn w:val="15"/>
    <w:link w:val="8"/>
    <w:qFormat/>
    <w:uiPriority w:val="0"/>
    <w:rPr>
      <w:rFonts w:ascii="Times New Roman" w:hAnsi="Times New Roman" w:eastAsia="宋体" w:cs="Times New Roman"/>
      <w:kern w:val="2"/>
      <w:sz w:val="18"/>
      <w:szCs w:val="18"/>
    </w:rPr>
  </w:style>
  <w:style w:type="character" w:customStyle="1" w:styleId="24">
    <w:name w:val="批注文字 Char"/>
    <w:basedOn w:val="15"/>
    <w:link w:val="17"/>
    <w:qFormat/>
    <w:uiPriority w:val="0"/>
    <w:rPr>
      <w:rFonts w:ascii="Times New Roman" w:hAnsi="Times New Roman" w:eastAsia="宋体" w:cs="Times New Roman"/>
      <w:kern w:val="2"/>
      <w:sz w:val="21"/>
      <w:szCs w:val="24"/>
    </w:rPr>
  </w:style>
  <w:style w:type="character" w:customStyle="1" w:styleId="25">
    <w:name w:val="批注主题 Char"/>
    <w:basedOn w:val="24"/>
    <w:link w:val="18"/>
    <w:qFormat/>
    <w:uiPriority w:val="0"/>
    <w:rPr>
      <w:rFonts w:ascii="Times New Roman" w:hAnsi="Times New Roman" w:eastAsia="宋体" w:cs="Times New Roman"/>
      <w:b/>
      <w:bCs/>
      <w:kern w:val="2"/>
      <w:sz w:val="21"/>
      <w:szCs w:val="24"/>
    </w:rPr>
  </w:style>
  <w:style w:type="paragraph" w:customStyle="1" w:styleId="26">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B65A045EB7044E5D933AF3A5D2121636_13</vt:lpwstr>
  </property>
  <property fmtid="{D5CDD505-2E9C-101B-9397-08002B2CF9AE}" pid="4" name="KSOTemplateDocerSaveRecord">
    <vt:lpwstr>eyJoZGlkIjoiNzI5YzU2NWU3ZDE2N2VmODk3OWRiZGQ4OTZlNzlhZTAiLCJ1c2VySWQiOiIxNjk1NTgxMjQzIn0=</vt:lpwstr>
  </property>
</Properties>
</file>

<file path=customXml/itemProps1.xml><?xml version="1.0" encoding="utf-8"?>
<ds:datastoreItem xmlns:ds="http://schemas.openxmlformats.org/officeDocument/2006/customXml" ds:itemID="{77b1e2e7-0139-42f7-951d-c19cee897654}">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20</Pages>
  <Words>9434</Words>
  <Characters>9734</Characters>
  <Lines>9</Lines>
  <Paragraphs>27</Paragraphs>
  <TotalTime>43</TotalTime>
  <ScaleCrop>false</ScaleCrop>
  <LinksUpToDate>false</LinksUpToDate>
  <CharactersWithSpaces>9740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2026-03-13T02:49:06Z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B65A045EB7044E5D933AF3A5D2121636_13</vt:lpwstr>
  </property>
  <property fmtid="{D5CDD505-2E9C-101B-9397-08002B2CF9AE}" pid="4" name="KSOTemplateDocerSaveRecord">
    <vt:lpwstr>eyJoZGlkIjoiMTllOTU3NWE5NTYyYWZlNzg3ODI3Yjg0ODg2ZDBmOGYifQ==</vt:lpwstr>
  </property>
</Properties>
</file>