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A51AD"/>
    <w:p w14:paraId="32F7EEF9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F491180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D9E2185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D9E455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2E34E90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基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层科普行动计划项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目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支出</w:t>
      </w:r>
    </w:p>
    <w:p w14:paraId="2B2E1BE3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绩效评价报告</w:t>
      </w:r>
    </w:p>
    <w:p w14:paraId="0FA7B1B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2869672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3DE016C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B3BCFA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0B82B52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F75AF1E">
      <w:pPr>
        <w:pStyle w:val="9"/>
        <w:rPr>
          <w:rFonts w:hint="default" w:ascii="Times New Roman" w:hAnsi="Times New Roman" w:cs="Times New Roman"/>
        </w:rPr>
      </w:pPr>
    </w:p>
    <w:p w14:paraId="239EE52A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69E0076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0BD3D40">
      <w:pPr>
        <w:spacing w:line="700" w:lineRule="exact"/>
        <w:ind w:firstLine="960" w:firstLineChars="3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年“基层科普行动计划”项目</w:t>
      </w:r>
    </w:p>
    <w:p w14:paraId="19E75CA4">
      <w:pPr>
        <w:spacing w:line="700" w:lineRule="exact"/>
        <w:ind w:firstLine="960" w:firstLineChars="3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科学技术协会</w:t>
      </w:r>
      <w:bookmarkStart w:id="1" w:name="_GoBack"/>
      <w:bookmarkEnd w:id="1"/>
    </w:p>
    <w:p w14:paraId="02B0B532">
      <w:pPr>
        <w:spacing w:line="700" w:lineRule="exact"/>
        <w:ind w:firstLine="960" w:firstLineChars="3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中共特克斯县委员会办公室</w:t>
      </w:r>
    </w:p>
    <w:p w14:paraId="10A653CC">
      <w:pPr>
        <w:spacing w:line="700" w:lineRule="exact"/>
        <w:ind w:firstLine="960" w:firstLineChars="3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袁丽沙</w:t>
      </w:r>
    </w:p>
    <w:p w14:paraId="55AFB7A0">
      <w:pPr>
        <w:spacing w:line="700" w:lineRule="exact"/>
        <w:ind w:firstLine="960" w:firstLineChars="30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4FAD9EC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6BA46B0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43A777D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34311B71"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一步落实《关于提前下达2024年中央“基层科普行动计划”资金预算通知》（伊州财教〔2023〕82号），《关于提前下达2024年自治区“基层科普行动计划”资金预算通知》（伊州财教〔2023〕87号）文件精神，伊犁州科协《关于2024年全国和自治区“基层科普行动计划”项目资金分配及管理使用的通知》要求，进一步提升基层科普服务能力，以科普活动进社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校园、进机关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的方式，开展丰富多彩、形式多样的科普活动，将科普工作引入全县各领域，树立浓厚科普氛围。</w:t>
      </w:r>
    </w:p>
    <w:p w14:paraId="0C5722DA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3028EA4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项目主要内容：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和推动学会开展“三下乡”等科技服务活动，促进优质服务与乡村科技需求精准对接，为农村地区提供亟需的科技服务；办好老年科技大学，推动“银铃跨越数字鸿沟”科普专项行动，服务老年人科学素质提升；与融媒体合作开展网上科普宣传，提升优质科普内容资源传播力，通过融媒平台将科普工作贯穿到学校、家庭等各个领域；先进集体和个人，加强基层科普组织和年度科普人才队伍建设，继续奖补有较强辐射作用的先进集体和个人。</w:t>
      </w:r>
    </w:p>
    <w:p w14:paraId="090603D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项目实施情况：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2.4万元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用于引导和推动协会开展“三下乡”等科技服务活动，促进优质服务与乡村科技需求精准对接，为农村地区提供亟需的科技服务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结合我县现有的协会重点开展科技培训、科普讲座、产业指导等科技服务活动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1.6万元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用于开展科技服务活动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场次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办好老年科技大学，组织老年人参加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老干部专业技术服务团、老干部宣讲团开展的科普</w:t>
      </w:r>
      <w:r>
        <w:rPr>
          <w:rFonts w:hint="eastAsia" w:ascii="仿宋_GB2312" w:hAnsi="仿宋_GB2312" w:eastAsia="仿宋_GB2312" w:cs="仿宋_GB2312"/>
          <w:sz w:val="32"/>
          <w:szCs w:val="32"/>
        </w:rPr>
        <w:t>讲座，服务老年人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、农牧民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科学素质提升。</w:t>
      </w:r>
    </w:p>
    <w:p w14:paraId="3BBC4141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2EACDC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3604CCE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93F6D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20DD5A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ascii="仿宋_GB2312" w:hAnsi="仿宋_GB2312" w:eastAsia="仿宋_GB2312" w:cs="仿宋_GB2312"/>
          <w:sz w:val="32"/>
          <w:szCs w:val="32"/>
        </w:rPr>
        <w:t>协会开展科技培训、科普讲座、产业指导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老年科技大学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、老干部宣讲团等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科普宣传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89CF2E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4ADC79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3E7859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导和推动学会开展“三下乡”等科技服务活动，促进优质服务与乡村科技需求精准对接，为农村地区提供亟需的科技服务；办好老年科技大学，推动“银铃跨越数字鸿沟”科普专项行动，服务老年人科学素质提升；与融媒体合作开展网上科普宣传，提升优质科普内容资源传播力，通过融媒平台将科普工作贯穿到学校、家庭等各个领域；先进集体和个人，加强基层科普组织和年度科普人才队伍建设，继续奖补有较强辐射作用的先进集体和个人。</w:t>
      </w:r>
    </w:p>
    <w:p w14:paraId="6FE022C1">
      <w:pPr>
        <w:numPr>
          <w:ilvl w:val="0"/>
          <w:numId w:val="0"/>
        </w:numPr>
        <w:spacing w:line="560" w:lineRule="exact"/>
        <w:ind w:left="640" w:leftChars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2798BEA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上半年召开单位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党组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会议制定会议方案及目标，下半年按照方案执行会议经费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5A99397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1A5BEE3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39975D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1.绩效评价完整性</w:t>
      </w:r>
    </w:p>
    <w:p w14:paraId="360B31B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AF500B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维度，力求全方位反映项目的绩效状况。同时，对于每个指标的评价标准和数据来源均进行了明确说明，确保评价结果的客观性和可追溯性。</w:t>
      </w:r>
    </w:p>
    <w:p w14:paraId="2AB1AB7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0FE32D7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510CF65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0FE2A33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绩效评价的目的</w:t>
      </w:r>
    </w:p>
    <w:p w14:paraId="133CE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（1）评估项目实施效果</w:t>
      </w:r>
    </w:p>
    <w:p w14:paraId="05A11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通过对项目预算执行情况及各项绩效目标达成程度的系统性分析，全面、客观地评估项目在预定周期内的实施效果，包括社会效益等维度指标，为项目后续的改进与优化提供科学依据。</w:t>
      </w:r>
    </w:p>
    <w:p w14:paraId="5043B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（2）提升资源利用效率</w:t>
      </w:r>
    </w:p>
    <w:p w14:paraId="54BAE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1C6F6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（3）强化项目管理责任</w:t>
      </w:r>
    </w:p>
    <w:p w14:paraId="23E57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7DC8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（4）为决策提供支持</w:t>
      </w:r>
    </w:p>
    <w:p w14:paraId="0B98F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4F4B9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（5）促进项目持续改进</w:t>
      </w:r>
    </w:p>
    <w:p w14:paraId="6B7C0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36870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社会效益。</w:t>
      </w:r>
    </w:p>
    <w:p w14:paraId="05CCC5D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绩效评价的对象</w:t>
      </w:r>
    </w:p>
    <w:p w14:paraId="55B6579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2024年“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基层科普行动计划”项目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  <w:t>科学技术协会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负责实施，旨在引导和推动协会“三下乡”科技服务。项目预算涵盖从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元。</w:t>
      </w:r>
    </w:p>
    <w:p w14:paraId="326A303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1BE0583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2EC00ED1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471BDF9A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3ECA1A43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233B9C82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b w:val="0"/>
          <w:bCs w:val="0"/>
          <w:highlight w:val="green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影响：考察项目对社会等方面的综合影响。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进一步提升了老年人，科普工作者素质，让他们更好地为科协事业做贡献。</w:t>
      </w:r>
    </w:p>
    <w:p w14:paraId="37E93A60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3C81805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50F33BC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31CC84A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3AE2200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18C81B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09689A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7B80F77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7199813D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CA4FA0F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6DABB99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4339EE4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78C2403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254EF52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55D8B8D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939B7A9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698C7E57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26D97A9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6D45F1C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C4D1A7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1D69293">
      <w:pPr>
        <w:spacing w:line="560" w:lineRule="exact"/>
        <w:ind w:firstLine="708" w:firstLineChars="200"/>
        <w:rPr>
          <w:rFonts w:hint="eastAsia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）因素分析法。是指综合分析影响绩效目标实现、实施效果的内外部因素的方法。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主要是可以深入分析经济现象或结果背后的原因，明确哪些因素对特定变量产生影响，以及影响的方向和程度，帮助研究或决策者理解事物发展变化的内在机制。</w:t>
      </w:r>
    </w:p>
    <w:p w14:paraId="47C8C99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086028C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2DA8642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计划标准。指以预先制定的目标、计划、预算、定额等作为评价标准。</w:t>
      </w:r>
    </w:p>
    <w:p w14:paraId="4B9F9FE9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21F68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1EFF5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0697E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40394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0DA72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2F20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4BF98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565D7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3F6A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0307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22066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14E87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E5A743E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61FCC4A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323D2B5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基层科普行动计划项目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科普宣传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等方面表现出色，达到了预期的标准与要求。同时，项目也在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科技宣传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取得了显著的成效。</w:t>
      </w:r>
    </w:p>
    <w:p w14:paraId="2167A8D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科学技术协会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031F76C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在社会效益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2C83466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2024年“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基层科普行动计划”项目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6CC1172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6BBF0EC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4C825BD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6A40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1BEA09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1B075A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D76055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6EBEF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0743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9D53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F7D74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5BB2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642F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4C7F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8F401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AF64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D301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D163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6639F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5C7B1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B1D2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A065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4D357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D06C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B80A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8C3A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BFCCE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5CFEB75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71A32FCB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1979821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C28966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32FBBC1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5203E5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0F85F44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3E457AD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CC5FAF9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05E04CF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299B382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08B42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50486A8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2B4542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638CC0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78091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0769C9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C9311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3DB19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4F266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42A99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green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35691E0C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6152C5C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B20E72F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78B116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0B2B444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20FEA57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3D795C8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39A4D16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2DF5F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42523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1CAC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24ABFA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1D52D63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1FCC6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1374B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5A17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7505231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63B7DD2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52888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1B017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3DC9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55048A87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226409A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具体产出指标完成情况如下：</w:t>
      </w:r>
    </w:p>
    <w:p w14:paraId="33F33E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3AFBE8C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引导和推动协会“三下乡”科技服务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default" w:ascii="Arial" w:hAnsi="Arial" w:eastAsia="仿宋_GB2312" w:cs="Arial"/>
          <w:sz w:val="32"/>
          <w:szCs w:val="32"/>
          <w:highlight w:val="none"/>
        </w:rPr>
        <w:t>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647853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2：科普助力老年人科普素质提升，指标值：</w:t>
      </w:r>
      <w:r>
        <w:rPr>
          <w:rFonts w:hint="default" w:ascii="Arial" w:hAnsi="Arial" w:eastAsia="仿宋_GB2312" w:cs="Arial"/>
          <w:sz w:val="32"/>
          <w:szCs w:val="32"/>
          <w:highlight w:val="none"/>
          <w:lang w:val="en-US" w:eastAsia="zh-CN"/>
        </w:rPr>
        <w:t>≥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20次，实际完成值：20次，指标完成率100%，偏差原因：无。</w:t>
      </w:r>
    </w:p>
    <w:p w14:paraId="710F543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指标3：与融媒体合作开展网上科普，指标值：</w:t>
      </w:r>
      <w:r>
        <w:rPr>
          <w:rFonts w:hint="default" w:ascii="Arial" w:hAnsi="Arial" w:eastAsia="仿宋_GB2312" w:cs="Arial"/>
          <w:sz w:val="32"/>
          <w:szCs w:val="32"/>
          <w:highlight w:val="none"/>
          <w:lang w:val="en-US" w:eastAsia="zh-CN"/>
        </w:rPr>
        <w:t>≥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128条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，实际完成值：128条，指标完成率100%，偏差原因：无。</w:t>
      </w:r>
    </w:p>
    <w:p w14:paraId="33935B9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指标4：奖补先进集体，指标值：=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1个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，实际完成值：1个，指标完成率100%，偏差原因：无。</w:t>
      </w:r>
    </w:p>
    <w:p w14:paraId="46B32AC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指标5：奖补先进个人，指标值：=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6人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，实际完成值：6人，指标完成率100%，偏差原因：无。</w:t>
      </w:r>
    </w:p>
    <w:p w14:paraId="0B3BE6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6C6FAE2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指标1：科普助力老年人科普素质提升度，指标值：</w:t>
      </w:r>
      <w:r>
        <w:rPr>
          <w:rFonts w:hint="default" w:ascii="Arial" w:hAnsi="Arial" w:eastAsia="仿宋_GB2312" w:cs="Arial"/>
          <w:sz w:val="32"/>
          <w:szCs w:val="32"/>
          <w:highlight w:val="none"/>
          <w:lang w:val="en-US" w:eastAsia="zh-CN"/>
        </w:rPr>
        <w:t>≥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95%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，实际完成值：95%，指标完成率100%，偏差原因：无。</w:t>
      </w:r>
    </w:p>
    <w:p w14:paraId="2A70CD20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指标2：奖补先进集体和个人发放率，指标值：=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，实际完成值：100%，指标完成率100%，偏差原因：无。</w:t>
      </w:r>
    </w:p>
    <w:p w14:paraId="7BB9ABB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37788E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3A7E4E4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指标1：资金拨付及时率，指标值：=</w:t>
      </w:r>
      <w:r>
        <w:rPr>
          <w:rFonts w:hint="eastAsia" w:ascii="Arial" w:hAnsi="Arial" w:eastAsia="仿宋_GB2312" w:cs="Arial"/>
          <w:sz w:val="32"/>
          <w:szCs w:val="32"/>
          <w:highlight w:val="none"/>
          <w:lang w:val="en-US" w:eastAsia="zh-CN"/>
        </w:rPr>
        <w:t>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，实际完成值：100%，指标完成率100%，偏差原因：无。</w:t>
      </w:r>
    </w:p>
    <w:p w14:paraId="6B90A2A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0F7D371D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指标1：引导和推动协会“三下乡”科技服务使用资金，指标值：=1.6万元，实际完成值：1.6万元，指标完成率100%，偏差原因：无。</w:t>
      </w:r>
    </w:p>
    <w:p w14:paraId="0A038469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指标2：科普助力老年人科普素质提升使用资金，指标值：=0.8万元，实际完成值：0.8万元，指标完成率100%，偏差原因：无。</w:t>
      </w:r>
    </w:p>
    <w:p w14:paraId="5853893E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指标3：与融媒体合作开展网上科普使用资金，指标值：=0.8万元，实际完成值：0.8万元，指标完成率100%，偏差原因：无。</w:t>
      </w:r>
    </w:p>
    <w:p w14:paraId="61588070">
      <w:pPr>
        <w:shd w:val="clear" w:color="auto" w:fill="auto"/>
        <w:spacing w:line="600" w:lineRule="exact"/>
        <w:ind w:firstLine="640" w:firstLineChars="200"/>
        <w:outlineLvl w:val="0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指标4：奖补先进集体和先进个人使用资金，指标值：=0.8万元，实际完成值：0.8万元，指标完成率100%，偏差原因：无。</w:t>
      </w:r>
    </w:p>
    <w:p w14:paraId="3A8CB913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5F2AFB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标完成情况如下：</w:t>
      </w:r>
    </w:p>
    <w:p w14:paraId="50908173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557392BA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7841186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指标1：提高全民科学素质，指标值：有效提高，实际完成值：有效提高，指标完成率100%，偏差原因：无。</w:t>
      </w:r>
    </w:p>
    <w:p w14:paraId="6340F9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00EAA23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指标1：科普宣传满意度，指标值：</w:t>
      </w:r>
      <w:r>
        <w:rPr>
          <w:rFonts w:hint="default" w:ascii="Arial" w:hAnsi="Arial" w:eastAsia="仿宋_GB2312" w:cs="Arial"/>
          <w:sz w:val="32"/>
          <w:szCs w:val="32"/>
          <w:highlight w:val="none"/>
          <w:lang w:val="en-US" w:eastAsia="zh-CN"/>
        </w:rPr>
        <w:t>≥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90%，实际完成值：90%，指标完成率100%，偏差原因：无。</w:t>
      </w:r>
    </w:p>
    <w:p w14:paraId="4978344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6E84B683">
      <w:pPr>
        <w:pStyle w:val="2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基层科普行动计划”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项目年初预算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万元，全年预算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万元，实际支出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万元，预算执行率为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%，项目绩效指标总体完成率为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%，总体偏差率为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 w:cs="仿宋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偏差原因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，改进措施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 w14:paraId="4FD4A53D">
      <w:pPr>
        <w:spacing w:line="560" w:lineRule="exact"/>
        <w:ind w:firstLine="640" w:firstLineChars="200"/>
        <w:rPr>
          <w:rStyle w:val="19"/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主要经验及做法、存在的问题及原因分析</w:t>
      </w:r>
    </w:p>
    <w:p w14:paraId="279EAE80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17BA9CA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5B65DA9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4B899E30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055D45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230C9E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697FC68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0A0D287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74D093A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0FE571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240864C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6FA9E6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1461163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137D68D3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60E4ADD3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6AE3DE0-5C59-4500-8BA4-9DA8B591451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B1E452D-AAD2-4A63-AADA-78EF7C278F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3AC53B4-D172-4B73-83C9-C69559FD5DE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AEB804D-FC91-4DD7-903B-83CEF72BD0C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D80A49BA-F8D0-4B05-8EFF-CA43033803E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A32A3CE3-34B6-4BF6-89E5-57E7E195762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35A86B4D-2E04-4BBA-9945-C0EFC5E7597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8" w:fontKey="{FADD863A-72A1-4CE7-9111-7DF30C82BC4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A7354013-3A4A-4F04-A396-51ED8788731A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10" w:fontKey="{A18FAD52-FA0F-47DC-AF76-0B3C681B759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ED0E712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7E0E5B9A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0A12576B"/>
    <w:rsid w:val="32E141C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7d2bb908-466b-4d0b-abc4-4c0a758187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9382</Words>
  <Characters>9644</Characters>
  <Lines>58</Lines>
  <Paragraphs>16</Paragraphs>
  <TotalTime>45</TotalTime>
  <ScaleCrop>false</ScaleCrop>
  <LinksUpToDate>false</LinksUpToDate>
  <CharactersWithSpaces>9652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2025-11-13T05:59:48Z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