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bookmarkStart w:id="0" w:name="_GoBack"/>
      <w:bookmarkEnd w:id="0"/>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特克斯县阔克苏乡人民政府2024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 xml:space="preserve">第一部分 </w:t>
      </w:r>
      <w:r>
        <w:rPr>
          <w:rFonts w:hint="eastAsia" w:ascii="仿宋_GB2312" w:hAnsi="仿宋_GB2312" w:eastAsia="仿宋_GB2312" w:cs="仿宋_GB2312"/>
          <w:b/>
          <w:bCs/>
          <w:sz w:val="32"/>
          <w:szCs w:val="32"/>
          <w:highlight w:val="none"/>
          <w:lang w:eastAsia="zh-CN"/>
        </w:rPr>
        <w:t>单位</w:t>
      </w:r>
      <w:r>
        <w:rPr>
          <w:rFonts w:hint="eastAsia" w:ascii="仿宋_GB2312" w:hAnsi="仿宋_GB2312" w:eastAsia="仿宋_GB2312" w:cs="仿宋_GB2312"/>
          <w:b/>
          <w:bCs/>
          <w:sz w:val="32"/>
          <w:szCs w:val="32"/>
          <w:highlight w:val="none"/>
        </w:rPr>
        <w:t>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14:paraId="55921894">
      <w:r>
        <w:br w:type="page"/>
      </w:r>
    </w:p>
    <w:p w14:paraId="745CAB4B">
      <w:pPr>
        <w:spacing w:line="640" w:lineRule="exact"/>
        <w:jc w:val="center"/>
        <w:outlineLvl w:val="1"/>
      </w:pPr>
      <w:r>
        <w:rPr>
          <w:rFonts w:ascii="黑体" w:hAnsi="黑体" w:eastAsia="黑体"/>
          <w:sz w:val="32"/>
        </w:rPr>
        <w:t xml:space="preserve">第一部分 </w:t>
      </w:r>
      <w:r>
        <w:rPr>
          <w:rFonts w:hint="eastAsia" w:ascii="黑体" w:hAnsi="黑体" w:eastAsia="黑体"/>
          <w:sz w:val="32"/>
          <w:lang w:eastAsia="zh-CN"/>
        </w:rPr>
        <w:t>单位</w:t>
      </w:r>
      <w:r>
        <w:rPr>
          <w:rFonts w:ascii="黑体" w:hAnsi="黑体" w:eastAsia="黑体"/>
          <w:sz w:val="32"/>
        </w:rPr>
        <w:t>概况</w:t>
      </w:r>
    </w:p>
    <w:p w14:paraId="0791B4ED">
      <w:pPr>
        <w:spacing w:line="640" w:lineRule="exact"/>
        <w:ind w:firstLine="640"/>
        <w:jc w:val="both"/>
        <w:outlineLvl w:val="2"/>
      </w:pPr>
      <w:r>
        <w:rPr>
          <w:rFonts w:ascii="黑体" w:hAnsi="黑体" w:eastAsia="黑体"/>
          <w:sz w:val="32"/>
        </w:rPr>
        <w:t>一、主要职能</w:t>
      </w:r>
    </w:p>
    <w:p w14:paraId="45C5885F">
      <w:pPr>
        <w:spacing w:line="580" w:lineRule="exact"/>
        <w:ind w:firstLine="640"/>
        <w:jc w:val="both"/>
      </w:pPr>
      <w:r>
        <w:rPr>
          <w:rFonts w:ascii="仿宋_GB2312" w:hAnsi="仿宋_GB2312" w:eastAsia="仿宋_GB2312"/>
          <w:sz w:val="32"/>
        </w:rPr>
        <w:t>(一)镇党委。</w:t>
      </w:r>
    </w:p>
    <w:p w14:paraId="172B6C31">
      <w:pPr>
        <w:spacing w:line="580" w:lineRule="exact"/>
        <w:ind w:firstLine="640"/>
        <w:jc w:val="both"/>
      </w:pPr>
      <w:r>
        <w:rPr>
          <w:rFonts w:ascii="仿宋_GB2312" w:hAnsi="仿宋_GB2312" w:eastAsia="仿宋_GB2312"/>
          <w:sz w:val="32"/>
        </w:rPr>
        <w:t>1.宣传和贯彻执行党的路线方针政策和党中央、上级党组织及镇党员代表大会(党员大会)的决议。</w:t>
      </w:r>
    </w:p>
    <w:p w14:paraId="3623ACFE">
      <w:pPr>
        <w:spacing w:line="580" w:lineRule="exact"/>
        <w:ind w:firstLine="640"/>
        <w:jc w:val="both"/>
      </w:pPr>
      <w:r>
        <w:rPr>
          <w:rFonts w:ascii="仿宋_GB2312" w:hAnsi="仿宋_GB2312" w:eastAsia="仿宋_GB2312"/>
          <w:sz w:val="32"/>
        </w:rPr>
        <w:t>2.讨论和决定本镇经济建设、政治建设、文化建设、社会建设、生态文明建设和党的建设以及乡村振兴中的重大问题。</w:t>
      </w:r>
    </w:p>
    <w:p w14:paraId="08E37F87">
      <w:pPr>
        <w:spacing w:line="580" w:lineRule="exact"/>
        <w:ind w:firstLine="640"/>
        <w:jc w:val="both"/>
      </w:pPr>
      <w:r>
        <w:rPr>
          <w:rFonts w:ascii="仿宋_GB2312" w:hAnsi="仿宋_GB2312" w:eastAsia="仿宋_GB2312"/>
          <w:sz w:val="32"/>
        </w:rPr>
        <w:t>3.领导政权机关、群团组织和其他各类组织，加强指导和监督，支持和保证这些机关和组织依照国家法律法规以及各自章程履行职责。</w:t>
      </w:r>
    </w:p>
    <w:p w14:paraId="7B136AEF">
      <w:pPr>
        <w:spacing w:line="580" w:lineRule="exact"/>
        <w:ind w:firstLine="640"/>
        <w:jc w:val="both"/>
      </w:pPr>
      <w:r>
        <w:rPr>
          <w:rFonts w:ascii="仿宋_GB2312" w:hAnsi="仿宋_GB2312" w:eastAsia="仿宋_GB2312"/>
          <w:sz w:val="32"/>
        </w:rPr>
        <w:t>4.加强镇党委自身建设和村党组织建设，以及其他隶属镇党委的党组织建设，抓好发展党员工作，加强党员队伍建设。负责党风廉政建设和反腐败工作，维护和执行党的纪律，监督党员干部和其他工作人员严格遵守国家法律法规。</w:t>
      </w:r>
    </w:p>
    <w:p w14:paraId="16CDF319">
      <w:pPr>
        <w:spacing w:line="580" w:lineRule="exact"/>
        <w:ind w:firstLine="640"/>
        <w:jc w:val="both"/>
      </w:pPr>
      <w:r>
        <w:rPr>
          <w:rFonts w:ascii="仿宋_GB2312" w:hAnsi="仿宋_GB2312" w:eastAsia="仿宋_GB2312"/>
          <w:sz w:val="32"/>
        </w:rPr>
        <w:t>5.按照干部管理权限，负责对干部的教育、培训、选拔、考核和监督工作。做好人才服务和引进工作。加强对县直部门派驻机构及人员的管理，统一指挥协调县直部门派驻机构人员，开展工作考核，对负责人的任免提出意见。统一指挥协调赋权执法事项部门下沉的执法人员。</w:t>
      </w:r>
    </w:p>
    <w:p w14:paraId="7177C1BC">
      <w:pPr>
        <w:spacing w:line="580" w:lineRule="exact"/>
        <w:ind w:firstLine="640"/>
        <w:jc w:val="both"/>
      </w:pPr>
      <w:r>
        <w:rPr>
          <w:rFonts w:ascii="仿宋_GB2312" w:hAnsi="仿宋_GB2312" w:eastAsia="仿宋_GB2312"/>
          <w:sz w:val="32"/>
        </w:rPr>
        <w:t>6.领导本镇基层治理，推动党的社会工作向基层延伸，负责党建引领基层治理和基层政权建设、“两企三新”党建、社会工作人才队伍建设，建立健全基层社会工作格局，加强基层治理体系和治理能力建设。加强社会主义民主法治建设和精神文明建设，加强社会治安综合治理，做好生态环保、美丽乡村建设、民生保障、脱贫致富、民族</w:t>
      </w:r>
      <w:r>
        <w:rPr>
          <w:rFonts w:hint="eastAsia" w:ascii="仿宋_GB2312" w:hAnsi="仿宋_GB2312" w:eastAsia="仿宋_GB2312"/>
          <w:sz w:val="32"/>
          <w:lang w:eastAsia="zh-CN"/>
        </w:rPr>
        <w:t>ZJ</w:t>
      </w:r>
      <w:r>
        <w:rPr>
          <w:rFonts w:ascii="仿宋_GB2312" w:hAnsi="仿宋_GB2312" w:eastAsia="仿宋_GB2312"/>
          <w:sz w:val="32"/>
        </w:rPr>
        <w:t>等工作，维护社会稳定。对重大的突发性事件，迅速反应</w:t>
      </w:r>
      <w:r>
        <w:rPr>
          <w:rFonts w:hint="eastAsia" w:ascii="仿宋_GB2312" w:hAnsi="仿宋_GB2312" w:eastAsia="仿宋_GB2312"/>
          <w:sz w:val="32"/>
          <w:lang w:eastAsia="zh-CN"/>
        </w:rPr>
        <w:t>及</w:t>
      </w:r>
      <w:r>
        <w:rPr>
          <w:rFonts w:ascii="仿宋_GB2312" w:hAnsi="仿宋_GB2312" w:eastAsia="仿宋_GB2312"/>
          <w:sz w:val="32"/>
        </w:rPr>
        <w:t>时应对，并立即向上级党委报告。</w:t>
      </w:r>
    </w:p>
    <w:p w14:paraId="25EEE267">
      <w:pPr>
        <w:spacing w:line="580" w:lineRule="exact"/>
        <w:ind w:firstLine="640"/>
        <w:jc w:val="both"/>
      </w:pPr>
      <w:r>
        <w:rPr>
          <w:rFonts w:ascii="仿宋_GB2312" w:hAnsi="仿宋_GB2312" w:eastAsia="仿宋_GB2312"/>
          <w:sz w:val="32"/>
        </w:rPr>
        <w:t>7.完成县委交办的其他任务。</w:t>
      </w:r>
    </w:p>
    <w:p w14:paraId="7DC3577D">
      <w:pPr>
        <w:spacing w:line="580" w:lineRule="exact"/>
        <w:ind w:firstLine="640"/>
        <w:jc w:val="both"/>
      </w:pPr>
      <w:r>
        <w:rPr>
          <w:rFonts w:ascii="仿宋_GB2312" w:hAnsi="仿宋_GB2312" w:eastAsia="仿宋_GB2312"/>
          <w:sz w:val="32"/>
        </w:rPr>
        <w:t>(二)镇人民政府。</w:t>
      </w:r>
    </w:p>
    <w:p w14:paraId="0B853BAD">
      <w:pPr>
        <w:spacing w:line="580" w:lineRule="exact"/>
        <w:ind w:firstLine="640"/>
        <w:jc w:val="both"/>
      </w:pPr>
      <w:r>
        <w:rPr>
          <w:rFonts w:ascii="仿宋_GB2312" w:hAnsi="仿宋_GB2312" w:eastAsia="仿宋_GB2312"/>
          <w:sz w:val="32"/>
        </w:rPr>
        <w:t>1.执行镇人民代表大会的决议和上级国家行政机关的决定和命令，发布决定和命令。</w:t>
      </w:r>
    </w:p>
    <w:p w14:paraId="0C79FD6A">
      <w:pPr>
        <w:spacing w:line="580" w:lineRule="exact"/>
        <w:ind w:firstLine="640"/>
        <w:jc w:val="both"/>
      </w:pPr>
      <w:r>
        <w:rPr>
          <w:rFonts w:ascii="仿宋_GB2312" w:hAnsi="仿宋_GB2312" w:eastAsia="仿宋_GB2312"/>
          <w:sz w:val="32"/>
        </w:rPr>
        <w:t>2.负责经济发展工作，制定实施经济发展规划，调整经济结构，转变经济增长方式，做好“三农”工作，推进乡村振兴，增加群众收入，提升经济发展质量和水平。</w:t>
      </w:r>
    </w:p>
    <w:p w14:paraId="386A3E1D">
      <w:pPr>
        <w:spacing w:line="580" w:lineRule="exact"/>
        <w:ind w:firstLine="640"/>
        <w:jc w:val="both"/>
      </w:pPr>
      <w:r>
        <w:rPr>
          <w:rFonts w:ascii="仿宋_GB2312" w:hAnsi="仿宋_GB2312" w:eastAsia="仿宋_GB2312"/>
          <w:sz w:val="32"/>
        </w:rPr>
        <w:t>3.改善民生服务，管理教科文卫体事业和生态环境保护、财政、民政、社会保障、就业培训、劳动关系协调、社会救助、应急管理、安全生产、消防、公安、司法行政、人口与</w:t>
      </w:r>
      <w:r>
        <w:rPr>
          <w:rFonts w:hint="eastAsia" w:ascii="仿宋_GB2312" w:hAnsi="仿宋_GB2312" w:eastAsia="仿宋_GB2312"/>
          <w:sz w:val="32"/>
          <w:lang w:val="en-US" w:eastAsia="zh-CN"/>
        </w:rPr>
        <w:t>计生</w:t>
      </w:r>
      <w:r>
        <w:rPr>
          <w:rFonts w:ascii="仿宋_GB2312" w:hAnsi="仿宋_GB2312" w:eastAsia="仿宋_GB2312"/>
          <w:sz w:val="32"/>
        </w:rPr>
        <w:t>。</w:t>
      </w:r>
    </w:p>
    <w:p w14:paraId="33D12588">
      <w:pPr>
        <w:spacing w:line="580" w:lineRule="exact"/>
        <w:ind w:firstLine="640"/>
        <w:jc w:val="both"/>
      </w:pPr>
      <w:r>
        <w:rPr>
          <w:rFonts w:ascii="仿宋_GB2312" w:hAnsi="仿宋_GB2312" w:eastAsia="仿宋_GB2312"/>
          <w:sz w:val="32"/>
        </w:rPr>
        <w:t>退役军人事务、统计等工作。加强公共设施和公共服务体系建设。配合做好数字政府和信息基础设施建设。</w:t>
      </w:r>
    </w:p>
    <w:p w14:paraId="452A2F1B">
      <w:pPr>
        <w:spacing w:line="580" w:lineRule="exact"/>
        <w:ind w:firstLine="640"/>
        <w:jc w:val="both"/>
      </w:pPr>
      <w:r>
        <w:rPr>
          <w:rFonts w:ascii="仿宋_GB2312" w:hAnsi="仿宋_GB2312" w:eastAsia="仿宋_GB2312"/>
          <w:sz w:val="32"/>
        </w:rPr>
        <w:t>4.保护社会主义的全民所有的财产和劳动群众集体所有的财产，保护公民私人所有的合法财产，维护社会秩序，保障公民的人身权利、民主权利和其他权利。保护各种经济组织的合法权益。保障宪法和法律赋予妇女的男女平等、同工同酬和婚姻自由等各项权利。</w:t>
      </w:r>
    </w:p>
    <w:p w14:paraId="31AFF5CF">
      <w:pPr>
        <w:spacing w:line="580" w:lineRule="exact"/>
        <w:ind w:firstLine="640"/>
        <w:jc w:val="both"/>
      </w:pPr>
      <w:r>
        <w:rPr>
          <w:rFonts w:ascii="仿宋_GB2312" w:hAnsi="仿宋_GB2312" w:eastAsia="仿宋_GB2312"/>
          <w:sz w:val="32"/>
        </w:rPr>
        <w:t>5.强化便民服务，编制完善便民服务事项目录清单，集中受理、办理群众关心关注的政务服务事项。建立健全便民服务管理制度，实行“一站式服务”“一门式办理”。按照法定职权和有关授权，依法开展行政审批工作。推进政务、村(居)务公开。</w:t>
      </w:r>
    </w:p>
    <w:p w14:paraId="26442B96">
      <w:pPr>
        <w:spacing w:line="580" w:lineRule="exact"/>
        <w:ind w:firstLine="640"/>
        <w:jc w:val="both"/>
      </w:pPr>
      <w:r>
        <w:rPr>
          <w:rFonts w:ascii="仿宋_GB2312" w:hAnsi="仿宋_GB2312" w:eastAsia="仿宋_GB2312"/>
          <w:sz w:val="32"/>
        </w:rPr>
        <w:t>6.铸牢中华民族共同体意识，促进各民族广泛交往交流交融，保障少数民族的合法权利和利益，保障少数民族保持或者改革自己的风俗习惯的自由。</w:t>
      </w:r>
    </w:p>
    <w:p w14:paraId="1D993B8E">
      <w:pPr>
        <w:spacing w:line="580" w:lineRule="exact"/>
        <w:ind w:firstLine="640"/>
        <w:jc w:val="both"/>
      </w:pPr>
      <w:r>
        <w:rPr>
          <w:rFonts w:ascii="仿宋_GB2312" w:hAnsi="仿宋_GB2312" w:eastAsia="仿宋_GB2312"/>
          <w:sz w:val="32"/>
        </w:rPr>
        <w:t>7.加强平安法治建设，开展辖区内社会治安综合治理、信访、平安建设等工作。完善并实施“接诉即办”机制，处理群众性突发事件，强化民主法治宣传教育，维护公共安全和社会稳定。</w:t>
      </w:r>
    </w:p>
    <w:p w14:paraId="72F760A1">
      <w:pPr>
        <w:spacing w:line="580" w:lineRule="exact"/>
        <w:ind w:firstLine="640"/>
        <w:jc w:val="both"/>
      </w:pPr>
      <w:r>
        <w:rPr>
          <w:rFonts w:ascii="仿宋_GB2312" w:hAnsi="仿宋_GB2312" w:eastAsia="仿宋_GB2312"/>
          <w:sz w:val="32"/>
        </w:rPr>
        <w:t>8.组织实施乡镇行政处罚赋权事项清单、乡镇权责清单、县乡“属地管理”事项责任清单，厘清主体责任、配合责任，理顺县乡权责关系。</w:t>
      </w:r>
    </w:p>
    <w:p w14:paraId="1CD8381F">
      <w:pPr>
        <w:spacing w:line="580" w:lineRule="exact"/>
        <w:ind w:firstLine="640"/>
        <w:jc w:val="both"/>
      </w:pPr>
      <w:r>
        <w:rPr>
          <w:rFonts w:ascii="仿宋_GB2312" w:hAnsi="仿宋_GB2312" w:eastAsia="仿宋_GB2312"/>
          <w:sz w:val="32"/>
        </w:rPr>
        <w:t>9.负责本辖区的综合行政执法工作。完善并实施“乡镇吹哨、部门报到”机制，开展权限内日常执法检查、一般违法案件查处，并接受有关县级主管部门的业务指导和监督。</w:t>
      </w:r>
    </w:p>
    <w:p w14:paraId="74974A2F">
      <w:pPr>
        <w:spacing w:line="580" w:lineRule="exact"/>
        <w:ind w:firstLine="640"/>
        <w:jc w:val="both"/>
      </w:pPr>
      <w:r>
        <w:rPr>
          <w:rFonts w:ascii="仿宋_GB2312" w:hAnsi="仿宋_GB2312" w:eastAsia="仿宋_GB2312"/>
          <w:sz w:val="32"/>
        </w:rPr>
        <w:t>10.保障村(居)民自治。指导、支持和帮助村(居)民委员会建设，健全村(居)民自治平台，组织驻镇</w:t>
      </w:r>
      <w:r>
        <w:rPr>
          <w:rFonts w:hint="eastAsia" w:ascii="仿宋_GB2312" w:hAnsi="仿宋_GB2312" w:eastAsia="仿宋_GB2312"/>
          <w:sz w:val="32"/>
          <w:lang w:eastAsia="zh-CN"/>
        </w:rPr>
        <w:t>单位</w:t>
      </w:r>
      <w:r>
        <w:rPr>
          <w:rFonts w:ascii="仿宋_GB2312" w:hAnsi="仿宋_GB2312" w:eastAsia="仿宋_GB2312"/>
          <w:sz w:val="32"/>
        </w:rPr>
        <w:t>和村(居)民参与村(社区)建设、管理。</w:t>
      </w:r>
    </w:p>
    <w:p w14:paraId="2C57AB78">
      <w:pPr>
        <w:spacing w:line="580" w:lineRule="exact"/>
        <w:ind w:firstLine="640"/>
        <w:jc w:val="both"/>
      </w:pPr>
      <w:r>
        <w:rPr>
          <w:rFonts w:ascii="仿宋_GB2312" w:hAnsi="仿宋_GB2312" w:eastAsia="仿宋_GB2312"/>
          <w:sz w:val="32"/>
        </w:rPr>
        <w:t>11.办理县委、县人民政府交办的其他事项。</w:t>
      </w:r>
    </w:p>
    <w:p w14:paraId="48D92C08">
      <w:pPr>
        <w:spacing w:line="580" w:lineRule="exact"/>
        <w:ind w:firstLine="640"/>
        <w:jc w:val="both"/>
      </w:pPr>
      <w:r>
        <w:rPr>
          <w:rFonts w:hint="eastAsia" w:ascii="仿宋_GB2312" w:hAnsi="仿宋_GB2312" w:eastAsia="仿宋_GB2312"/>
          <w:sz w:val="32"/>
          <w:lang w:eastAsia="zh-CN"/>
        </w:rPr>
        <w:t>镇党委、镇政府</w:t>
      </w:r>
      <w:r>
        <w:rPr>
          <w:rFonts w:ascii="仿宋_GB2312" w:hAnsi="仿宋_GB2312" w:eastAsia="仿宋_GB2312"/>
          <w:sz w:val="32"/>
        </w:rPr>
        <w:t>根据本规定第三条所明确的主要职责，组织实施权责清单，逐项明确权责名称、权责类型、设定依据、履责方式、追责情形等。在此基础上，制定办事指南、运行流程图等，进一步优化行政程序，规范权力运行。</w:t>
      </w:r>
    </w:p>
    <w:p w14:paraId="40E36D25">
      <w:pPr>
        <w:spacing w:line="580" w:lineRule="exact"/>
        <w:ind w:firstLine="640"/>
        <w:jc w:val="both"/>
      </w:pPr>
      <w:r>
        <w:rPr>
          <w:rFonts w:ascii="仿宋_GB2312" w:hAnsi="仿宋_GB2312" w:eastAsia="仿宋_GB2312"/>
          <w:sz w:val="32"/>
        </w:rPr>
        <w:t>(一)党政综合办公室。主要负责文秘、档案、翻译、综合协调、后勤保障等工作。负责数字化发展、营商环境建设等工作。负责制定机关各项工作制度并监督落实。负责机关、事业</w:t>
      </w:r>
      <w:r>
        <w:rPr>
          <w:rFonts w:hint="eastAsia" w:ascii="仿宋_GB2312" w:hAnsi="仿宋_GB2312" w:eastAsia="仿宋_GB2312"/>
          <w:sz w:val="32"/>
          <w:lang w:eastAsia="zh-CN"/>
        </w:rPr>
        <w:t>单位</w:t>
      </w:r>
      <w:r>
        <w:rPr>
          <w:rFonts w:ascii="仿宋_GB2312" w:hAnsi="仿宋_GB2312" w:eastAsia="仿宋_GB2312"/>
          <w:sz w:val="32"/>
        </w:rPr>
        <w:t>效能建设及绩效考核。负责机关、派驻机构、事业机构的综合协调工作。统筹推进本镇和所辖村(社区)巡察整改相关工作。落实干部岗位在村“2112”工作机制。负责建立完善“乡镇吹哨、部门报到”“接诉即办”工作机制，制定实施“呼叫”事项办理信息反馈评价制度，负责县直部门派驻机构人员和赋权执法事项部门下沉的执法人员的统一指挥调度，完善和实施对派驻机构人员和县直部门下沉执法人员履职的考核评价机制。</w:t>
      </w:r>
    </w:p>
    <w:p w14:paraId="55E4C261">
      <w:pPr>
        <w:spacing w:line="580" w:lineRule="exact"/>
        <w:ind w:firstLine="640"/>
        <w:jc w:val="both"/>
      </w:pPr>
      <w:r>
        <w:rPr>
          <w:rFonts w:ascii="仿宋_GB2312" w:hAnsi="仿宋_GB2312" w:eastAsia="仿宋_GB2312"/>
          <w:sz w:val="32"/>
        </w:rPr>
        <w:t>(二)党建工作办公室。主要负责纪检、党务、组织、宣传、社会工作、机构编制、人事、老干部等工作的规划、管理、协调和</w:t>
      </w:r>
      <w:r>
        <w:rPr>
          <w:rFonts w:hint="eastAsia" w:ascii="仿宋_GB2312" w:hAnsi="仿宋_GB2312" w:eastAsia="仿宋_GB2312"/>
          <w:sz w:val="32"/>
          <w:lang w:eastAsia="zh-CN"/>
        </w:rPr>
        <w:t>监督</w:t>
      </w:r>
      <w:r>
        <w:rPr>
          <w:rFonts w:ascii="仿宋_GB2312" w:hAnsi="仿宋_GB2312" w:eastAsia="仿宋_GB2312"/>
          <w:sz w:val="32"/>
        </w:rPr>
        <w:t>工作。负责宣传党的各项方针、政策。负责党的基层组织建设和党员队伍建设工作。负责党风廉政建设工作。负责党建引领基层治理和基层政权建设、“两企三新”党建、社会工作人才队伍建设，建立健全基层社会工作格局。负责人大、团委、工会、妇联等日常事务。负责政协委员的联络工作。负责</w:t>
      </w:r>
      <w:r>
        <w:rPr>
          <w:rFonts w:hint="eastAsia" w:ascii="仿宋_GB2312" w:hAnsi="仿宋_GB2312" w:eastAsia="仿宋_GB2312"/>
          <w:sz w:val="32"/>
          <w:lang w:eastAsia="zh-CN"/>
        </w:rPr>
        <w:t>为民办实事</w:t>
      </w:r>
      <w:r>
        <w:rPr>
          <w:rFonts w:ascii="仿宋_GB2312" w:hAnsi="仿宋_GB2312" w:eastAsia="仿宋_GB2312"/>
          <w:sz w:val="32"/>
        </w:rPr>
        <w:t>工作、“民族团结一家亲”、升国旗、农牧民夜校、积分兑换、村(社区)考核。负责组织开展辖区群众的宣传、发动、服务工作，铸牢中华民族共同体意识。负责辖区社团组织的培育、发展和管理。</w:t>
      </w:r>
    </w:p>
    <w:p w14:paraId="46F357E9">
      <w:pPr>
        <w:spacing w:line="580" w:lineRule="exact"/>
        <w:ind w:firstLine="640"/>
        <w:jc w:val="both"/>
      </w:pPr>
      <w:r>
        <w:rPr>
          <w:rFonts w:ascii="仿宋_GB2312" w:hAnsi="仿宋_GB2312" w:eastAsia="仿宋_GB2312"/>
          <w:sz w:val="32"/>
        </w:rPr>
        <w:t>(三)经济发展和财政办公室。主要负责农业、农技、农机、林业、畜牧、水利、财政、土地、统计、交通、村镇建设、乡村振兴、招商引资、项目管理、一二三产业的规划、管理、服务、协调和监督工作。拟定经济发展、产业结构规划、计划并组织实施。贯彻落实统筹城乡发展、加快推进城乡一体化工作总体部署和目标任务。负责农村经济管理、财务管理等工作。负责镇政府财政预算决算的编制、办理各项收支结算和对账、报账工作。</w:t>
      </w:r>
    </w:p>
    <w:p w14:paraId="68F52154">
      <w:pPr>
        <w:spacing w:line="580" w:lineRule="exact"/>
        <w:ind w:firstLine="640"/>
        <w:jc w:val="both"/>
      </w:pPr>
      <w:r>
        <w:rPr>
          <w:rFonts w:ascii="仿宋_GB2312" w:hAnsi="仿宋_GB2312" w:eastAsia="仿宋_GB2312"/>
          <w:sz w:val="32"/>
        </w:rPr>
        <w:t>(四)社会事务办公室(退役军人服务站)。主要负责政法、社会治安综合治理、网信、民族</w:t>
      </w:r>
      <w:r>
        <w:rPr>
          <w:rFonts w:hint="eastAsia" w:ascii="仿宋_GB2312" w:hAnsi="仿宋_GB2312" w:eastAsia="仿宋_GB2312"/>
          <w:sz w:val="32"/>
          <w:lang w:eastAsia="zh-CN"/>
        </w:rPr>
        <w:t>ZJ</w:t>
      </w:r>
      <w:r>
        <w:rPr>
          <w:rFonts w:ascii="仿宋_GB2312" w:hAnsi="仿宋_GB2312" w:eastAsia="仿宋_GB2312"/>
          <w:sz w:val="32"/>
        </w:rPr>
        <w:t>、信访、司法、统战、科技、教育、文化、卫生、体育、广播电视、旅游、计生、安全生产、应急管理、消防救援、民政、劳动就业、社会保障、社会救助、防灾救灾减灾、退役军人、残疾人、红十字事业的规划、管理、协调和监督工作。负责拟定社会发展规划、计划并组织实施。协助做好镇人武部工作。</w:t>
      </w:r>
    </w:p>
    <w:p w14:paraId="71E69150">
      <w:pPr>
        <w:spacing w:line="580" w:lineRule="exact"/>
        <w:ind w:firstLine="640"/>
        <w:jc w:val="both"/>
      </w:pPr>
      <w:r>
        <w:rPr>
          <w:rFonts w:ascii="仿宋_GB2312" w:hAnsi="仿宋_GB2312" w:eastAsia="仿宋_GB2312"/>
          <w:sz w:val="32"/>
        </w:rPr>
        <w:t>(五)综合执法办公室。主要负责综合行政执法工作的规划、管理、协调和监督工作。完善基层综合执法体制机制，落实行政执法公示制度、执法全过程记录制度、重大执法决定法制审核制度。拟定和实施综合行政执法队伍统一的运行管理制度，包括日常工作制度、包片负责制度、巡查上报制度、执法处置制度、执法协调制度、执法案件督办制度。负责行政执法监督,推进综合行政执法信息系统建设。负责联系协调县政府相关部门派驻镇执法人员以及本镇执法人员执法工作。组织实施乡镇行政处罚赋权事项清单、权责清单、县乡“属地管理”事项责任清单，建立清单动态调整和公示机制，推动责权一致、责能一致。</w:t>
      </w:r>
    </w:p>
    <w:p w14:paraId="4D4FB32A">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六</w:t>
      </w:r>
      <w:r>
        <w:rPr>
          <w:rFonts w:ascii="仿宋_GB2312" w:hAnsi="仿宋_GB2312" w:eastAsia="仿宋_GB2312"/>
          <w:sz w:val="32"/>
        </w:rPr>
        <w:t>)农业发展服务中心。主要负责农业、畜牧、兽医、草原、林业、农技、农机、水利、农经等方面的服务工作。协助镇政府制定农业、林业、水利等工作的长远发展规划和年度计划并组织实施。</w:t>
      </w:r>
    </w:p>
    <w:p w14:paraId="061265CB">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七</w:t>
      </w:r>
      <w:r>
        <w:rPr>
          <w:rFonts w:ascii="仿宋_GB2312" w:hAnsi="仿宋_GB2312" w:eastAsia="仿宋_GB2312"/>
          <w:sz w:val="32"/>
        </w:rPr>
        <w:t>)公共文化服务中心。主要负责文化、宣传、科技、体育、广播电视、旅游等方面的服务工作。协助镇政府制定文化、宣传、科技、体育、广播电视、旅游等工作的长远发展规划和年度计划并组织实施。承担志愿者服务工作。</w:t>
      </w:r>
    </w:p>
    <w:p w14:paraId="34B7D9FE">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八</w:t>
      </w:r>
      <w:r>
        <w:rPr>
          <w:rFonts w:ascii="仿宋_GB2312" w:hAnsi="仿宋_GB2312" w:eastAsia="仿宋_GB2312"/>
          <w:sz w:val="32"/>
        </w:rPr>
        <w:t>)便民服务中心。主要负责民政、教育、劳动就业、社会保障、社会救助、退役军人、残疾人事业、红十字会等方面的服务工作。深化“最多跑一次”改革，结合实际集中受理、办理劳动就业、社会保障、社会救助、医疗保障、不动产登记、村镇规划建设、农业农村服务、畜牧兽医等面向群众的行政审批和服务事项，接受政策咨询，承接县直部门下放的审批权限。会同有关部门编制完善便民服务事项目录清单，梳理办事流程，简化办事程序。规范内部管理，建立健全首问负责、一次告知等管理制度。</w:t>
      </w:r>
    </w:p>
    <w:p w14:paraId="5C5A291B">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九</w:t>
      </w:r>
      <w:r>
        <w:rPr>
          <w:rFonts w:ascii="仿宋_GB2312" w:hAnsi="仿宋_GB2312" w:eastAsia="仿宋_GB2312"/>
          <w:sz w:val="32"/>
        </w:rPr>
        <w:t>)村镇建设发展中心。主要负责国土资源、国土空间规划建设、园林绿化、生态环境保护、交通等方面的服务工作。协助镇政府制定国土资源、国土空间规划建设、园林绿化、生态环境保护、交通工作的长远规划和年度计划并组织实施。协助镇政府贯彻落实统筹城乡发展、加快推进城乡一体化工作总体部署和目标。</w:t>
      </w:r>
    </w:p>
    <w:p w14:paraId="34C1AC31">
      <w:pPr>
        <w:spacing w:line="580" w:lineRule="exact"/>
        <w:ind w:firstLine="640"/>
        <w:jc w:val="both"/>
      </w:pPr>
      <w:r>
        <w:rPr>
          <w:rFonts w:ascii="仿宋_GB2312" w:hAnsi="仿宋_GB2312" w:eastAsia="仿宋_GB2312"/>
          <w:sz w:val="32"/>
        </w:rPr>
        <w:t>(</w:t>
      </w:r>
      <w:r>
        <w:rPr>
          <w:rFonts w:hint="eastAsia" w:ascii="仿宋_GB2312" w:hAnsi="仿宋_GB2312" w:eastAsia="仿宋_GB2312"/>
          <w:sz w:val="32"/>
          <w:lang w:val="en-US" w:eastAsia="zh-CN"/>
        </w:rPr>
        <w:t>十</w:t>
      </w:r>
      <w:r>
        <w:rPr>
          <w:rFonts w:ascii="仿宋_GB2312" w:hAnsi="仿宋_GB2312" w:eastAsia="仿宋_GB2312"/>
          <w:sz w:val="32"/>
        </w:rPr>
        <w:t>)综治和网格化服务中心。主要负责社会治安综合治理、法治建设、平安创建、网格化管理、安全生产、应急管理、人民武装等方面的服务工作。协助镇政府制定社会治安综合治理、法治建设、平安创建、网格化管理、安全生产等工作的长远规划和年度计划并组织实施。协助做好党的社会工作。坚持和发展新时代“枫桥经验”，负责群众信访、矛盾纠纷调解、社区矫正、普法、预防未成年人违法犯罪等工作。负责人口管理工作，管</w:t>
      </w:r>
      <w:r>
        <w:rPr>
          <w:rFonts w:hint="eastAsia" w:ascii="仿宋_GB2312" w:hAnsi="仿宋_GB2312" w:eastAsia="仿宋_GB2312"/>
          <w:sz w:val="32"/>
          <w:lang w:eastAsia="zh-CN"/>
        </w:rPr>
        <w:t>理和</w:t>
      </w:r>
      <w:r>
        <w:rPr>
          <w:rFonts w:ascii="仿宋_GB2312" w:hAnsi="仿宋_GB2312" w:eastAsia="仿宋_GB2312"/>
          <w:sz w:val="32"/>
        </w:rPr>
        <w:t>指导基层网格员队伍等。负责特殊群体的帮教帮扶、解决群众困难诉求等工作。负责群众工作机制的落实，拓展教育服务群众的形式和载体。</w:t>
      </w:r>
    </w:p>
    <w:p w14:paraId="4F0876B1">
      <w:pPr>
        <w:spacing w:line="640" w:lineRule="exact"/>
        <w:ind w:firstLine="640"/>
        <w:jc w:val="both"/>
        <w:outlineLvl w:val="2"/>
      </w:pPr>
      <w:r>
        <w:rPr>
          <w:rFonts w:ascii="黑体" w:hAnsi="黑体" w:eastAsia="黑体"/>
          <w:sz w:val="32"/>
        </w:rPr>
        <w:t>二、机构设置及人员情况</w:t>
      </w:r>
    </w:p>
    <w:p w14:paraId="5FD55910">
      <w:pPr>
        <w:spacing w:line="580" w:lineRule="exact"/>
        <w:ind w:firstLine="640"/>
        <w:jc w:val="both"/>
      </w:pPr>
      <w:r>
        <w:rPr>
          <w:rFonts w:ascii="仿宋_GB2312" w:hAnsi="仿宋_GB2312" w:eastAsia="仿宋_GB2312"/>
          <w:sz w:val="32"/>
        </w:rPr>
        <w:t>特克斯县阔克苏乡人民政府2024年度，实有人数128人，其中：在职人员108人，减少5人；离休人员0人，增加0人；退休人员20人,增加1人。</w:t>
      </w:r>
    </w:p>
    <w:p w14:paraId="5F12F332">
      <w:pPr>
        <w:spacing w:line="580" w:lineRule="exact"/>
        <w:ind w:firstLine="640"/>
        <w:jc w:val="both"/>
      </w:pPr>
      <w:r>
        <w:rPr>
          <w:rFonts w:ascii="仿宋_GB2312" w:hAnsi="仿宋_GB2312" w:eastAsia="仿宋_GB2312"/>
          <w:sz w:val="32"/>
        </w:rPr>
        <w:t>特克斯县阔克苏乡人民政府无下属预算</w:t>
      </w:r>
      <w:r>
        <w:rPr>
          <w:rFonts w:hint="eastAsia" w:ascii="仿宋_GB2312" w:hAnsi="仿宋_GB2312" w:eastAsia="仿宋_GB2312"/>
          <w:sz w:val="32"/>
          <w:lang w:eastAsia="zh-CN"/>
        </w:rPr>
        <w:t>单位</w:t>
      </w:r>
      <w:r>
        <w:rPr>
          <w:rFonts w:ascii="仿宋_GB2312" w:hAnsi="仿宋_GB2312" w:eastAsia="仿宋_GB2312"/>
          <w:sz w:val="32"/>
        </w:rPr>
        <w:t>，下设10个科室，分别是：党政综合办公室、党建工作办公室、经济发展和财政办公室、社会事务办公室（退役军人服务站）、综合执法办公室、农业发展服务中心、公共文化服务中心、便民服务中心、村镇建设发展中心、综治和网格化服务中心。</w:t>
      </w:r>
    </w:p>
    <w:p w14:paraId="046BF6DE">
      <w:r>
        <w:br w:type="page"/>
      </w:r>
    </w:p>
    <w:p w14:paraId="38C64BA8">
      <w:pPr>
        <w:spacing w:line="240" w:lineRule="auto"/>
        <w:jc w:val="center"/>
        <w:outlineLvl w:val="1"/>
      </w:pPr>
      <w:r>
        <w:rPr>
          <w:rFonts w:ascii="黑体" w:hAnsi="黑体" w:eastAsia="黑体"/>
          <w:sz w:val="32"/>
        </w:rPr>
        <w:t>第二部分 部门决算情况说明</w:t>
      </w:r>
    </w:p>
    <w:p w14:paraId="797908E2">
      <w:pPr>
        <w:spacing w:line="640" w:lineRule="exact"/>
        <w:ind w:firstLine="640"/>
        <w:jc w:val="both"/>
        <w:outlineLvl w:val="2"/>
      </w:pPr>
      <w:r>
        <w:rPr>
          <w:rFonts w:ascii="黑体" w:hAnsi="黑体" w:eastAsia="黑体"/>
          <w:sz w:val="32"/>
        </w:rPr>
        <w:t>一、收入支出决算总体情况说明</w:t>
      </w:r>
    </w:p>
    <w:p w14:paraId="4B1368BE">
      <w:pPr>
        <w:spacing w:line="580" w:lineRule="exact"/>
        <w:ind w:firstLine="640"/>
        <w:jc w:val="both"/>
      </w:pPr>
      <w:r>
        <w:rPr>
          <w:rFonts w:ascii="仿宋_GB2312" w:hAnsi="仿宋_GB2312" w:eastAsia="仿宋_GB2312"/>
          <w:b/>
          <w:sz w:val="32"/>
        </w:rPr>
        <w:t>2024年度收入总计2,533.85万元，</w:t>
      </w:r>
      <w:r>
        <w:rPr>
          <w:rFonts w:ascii="仿宋_GB2312" w:hAnsi="仿宋_GB2312" w:eastAsia="仿宋_GB2312"/>
          <w:b w:val="0"/>
          <w:sz w:val="32"/>
        </w:rPr>
        <w:t>其中：本年收入合计2,533.85万元，使用非财政拨款结余（含专用结余）0.00万元，年初结转和结余0.00万元。</w:t>
      </w:r>
    </w:p>
    <w:p w14:paraId="453F11BD">
      <w:pPr>
        <w:spacing w:line="580" w:lineRule="exact"/>
        <w:ind w:firstLine="640"/>
        <w:jc w:val="both"/>
      </w:pPr>
      <w:r>
        <w:rPr>
          <w:rFonts w:ascii="仿宋_GB2312" w:hAnsi="仿宋_GB2312" w:eastAsia="仿宋_GB2312"/>
          <w:b/>
          <w:sz w:val="32"/>
        </w:rPr>
        <w:t>2024年度支出总计2,533.85万元，</w:t>
      </w:r>
      <w:r>
        <w:rPr>
          <w:rFonts w:ascii="仿宋_GB2312" w:hAnsi="仿宋_GB2312" w:eastAsia="仿宋_GB2312"/>
          <w:b w:val="0"/>
          <w:sz w:val="32"/>
        </w:rPr>
        <w:t>其中：本年支出合计2,533.85万元，结余分配0.00万元，年末结转和结余0.00万元。</w:t>
      </w:r>
    </w:p>
    <w:p w14:paraId="7FCDDA11">
      <w:pPr>
        <w:spacing w:line="580" w:lineRule="exact"/>
        <w:ind w:firstLine="640"/>
        <w:jc w:val="both"/>
      </w:pPr>
      <w:r>
        <w:rPr>
          <w:rFonts w:ascii="仿宋_GB2312" w:hAnsi="仿宋_GB2312" w:eastAsia="仿宋_GB2312"/>
          <w:b w:val="0"/>
          <w:sz w:val="32"/>
        </w:rPr>
        <w:t>收入支出总体与上年相比，减少1,583.57万元，下降38.46%，主要原因是：本年减少伊犁州特克斯县阔克苏乡冷水鱼</w:t>
      </w:r>
      <w:r>
        <w:rPr>
          <w:rFonts w:hint="eastAsia" w:ascii="仿宋_GB2312" w:hAnsi="仿宋_GB2312" w:eastAsia="仿宋_GB2312"/>
          <w:b w:val="0"/>
          <w:sz w:val="32"/>
          <w:lang w:eastAsia="zh-CN"/>
        </w:rPr>
        <w:t>养殖场</w:t>
      </w:r>
      <w:r>
        <w:rPr>
          <w:rFonts w:ascii="仿宋_GB2312" w:hAnsi="仿宋_GB2312" w:eastAsia="仿宋_GB2312"/>
          <w:b w:val="0"/>
          <w:sz w:val="32"/>
        </w:rPr>
        <w:t>建设项目；村干部工资2024年6月起由组织部发放，减少马场社区聘用人员10-12月工资及社保资金支付，相应经费较上年减少；本年减少特克斯县言道文化产业园、阔科克苏村综合服务楼（文化活动中心及干部周转房）、室外附属工程建设项目。</w:t>
      </w:r>
    </w:p>
    <w:p w14:paraId="3129FE4C">
      <w:pPr>
        <w:spacing w:line="640" w:lineRule="exact"/>
        <w:ind w:firstLine="640"/>
        <w:jc w:val="both"/>
        <w:outlineLvl w:val="2"/>
      </w:pPr>
      <w:r>
        <w:rPr>
          <w:rFonts w:ascii="黑体" w:hAnsi="黑体" w:eastAsia="黑体"/>
          <w:sz w:val="32"/>
        </w:rPr>
        <w:t>二、收入决算情况说明</w:t>
      </w:r>
    </w:p>
    <w:p w14:paraId="6474B4A9">
      <w:pPr>
        <w:spacing w:line="580" w:lineRule="exact"/>
        <w:ind w:firstLine="640"/>
        <w:jc w:val="both"/>
      </w:pPr>
      <w:r>
        <w:rPr>
          <w:rFonts w:ascii="仿宋_GB2312" w:hAnsi="仿宋_GB2312" w:eastAsia="仿宋_GB2312"/>
          <w:b/>
          <w:sz w:val="32"/>
        </w:rPr>
        <w:t>本年收入2,533.85万元，</w:t>
      </w:r>
      <w:r>
        <w:rPr>
          <w:rFonts w:ascii="仿宋_GB2312" w:hAnsi="仿宋_GB2312" w:eastAsia="仿宋_GB2312"/>
          <w:b w:val="0"/>
          <w:sz w:val="32"/>
        </w:rPr>
        <w:t>其中：财政拨款收入2,533.85万元，占100.00%；上级补助收入0.00万元，占0.00%；事业收入0.00万元，占0.00%；经营收入0.00万元，占0.00%；附属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上缴收入0.00万元，占0.00%；其他收入0.00万元，占0.00%。</w:t>
      </w:r>
    </w:p>
    <w:p w14:paraId="469ACD2B">
      <w:pPr>
        <w:spacing w:line="640" w:lineRule="exact"/>
        <w:ind w:firstLine="640"/>
        <w:jc w:val="both"/>
        <w:outlineLvl w:val="2"/>
      </w:pPr>
      <w:r>
        <w:rPr>
          <w:rFonts w:ascii="黑体" w:hAnsi="黑体" w:eastAsia="黑体"/>
          <w:sz w:val="32"/>
        </w:rPr>
        <w:t>三、支出决算情况说明</w:t>
      </w:r>
    </w:p>
    <w:p w14:paraId="04D96549">
      <w:pPr>
        <w:spacing w:line="580" w:lineRule="exact"/>
        <w:ind w:firstLine="640"/>
        <w:jc w:val="both"/>
      </w:pPr>
      <w:r>
        <w:rPr>
          <w:rFonts w:ascii="仿宋_GB2312" w:hAnsi="仿宋_GB2312" w:eastAsia="仿宋_GB2312"/>
          <w:b/>
          <w:sz w:val="32"/>
        </w:rPr>
        <w:t>本年支出2,533.85万元，</w:t>
      </w:r>
      <w:r>
        <w:rPr>
          <w:rFonts w:ascii="仿宋_GB2312" w:hAnsi="仿宋_GB2312" w:eastAsia="仿宋_GB2312"/>
          <w:b w:val="0"/>
          <w:sz w:val="32"/>
        </w:rPr>
        <w:t>其中：基本支出2,231.96万元，占88.09%；项目支出301.89万元，占11.91%；上缴上级支出0.00万元，占0.00%；经营支出0.00万元，占0.00%；对附属</w:t>
      </w:r>
      <w:r>
        <w:rPr>
          <w:rFonts w:hint="eastAsia" w:ascii="仿宋_GB2312" w:hAnsi="仿宋_GB2312" w:eastAsia="仿宋_GB2312"/>
          <w:b w:val="0"/>
          <w:sz w:val="32"/>
          <w:lang w:eastAsia="zh-CN"/>
        </w:rPr>
        <w:t>单位</w:t>
      </w:r>
      <w:r>
        <w:rPr>
          <w:rFonts w:ascii="仿宋_GB2312" w:hAnsi="仿宋_GB2312" w:eastAsia="仿宋_GB2312"/>
          <w:b w:val="0"/>
          <w:sz w:val="32"/>
        </w:rPr>
        <w:t>补助支出0.00万元，占0.00%。</w:t>
      </w:r>
    </w:p>
    <w:p w14:paraId="64EF2C9E">
      <w:pPr>
        <w:spacing w:line="640" w:lineRule="exact"/>
        <w:ind w:firstLine="640"/>
        <w:jc w:val="both"/>
        <w:outlineLvl w:val="2"/>
      </w:pPr>
      <w:r>
        <w:rPr>
          <w:rFonts w:ascii="黑体" w:hAnsi="黑体" w:eastAsia="黑体"/>
          <w:sz w:val="32"/>
        </w:rPr>
        <w:t>四、财政拨款收入支出决算总体情况说明</w:t>
      </w:r>
    </w:p>
    <w:p w14:paraId="37F52E14">
      <w:pPr>
        <w:spacing w:line="580" w:lineRule="exact"/>
        <w:ind w:firstLine="640"/>
        <w:jc w:val="both"/>
      </w:pPr>
      <w:r>
        <w:rPr>
          <w:rFonts w:ascii="仿宋_GB2312" w:hAnsi="仿宋_GB2312" w:eastAsia="仿宋_GB2312"/>
          <w:b/>
          <w:sz w:val="32"/>
        </w:rPr>
        <w:t>2024年度财政拨款收入总计2,533.85万元，</w:t>
      </w:r>
      <w:r>
        <w:rPr>
          <w:rFonts w:ascii="仿宋_GB2312" w:hAnsi="仿宋_GB2312" w:eastAsia="仿宋_GB2312"/>
          <w:b w:val="0"/>
          <w:sz w:val="32"/>
        </w:rPr>
        <w:t>其中：年初财政拨款结转和结余0.00万元，本年财政拨款收入2,533.85万元。</w:t>
      </w:r>
      <w:r>
        <w:rPr>
          <w:rFonts w:ascii="仿宋_GB2312" w:hAnsi="仿宋_GB2312" w:eastAsia="仿宋_GB2312"/>
          <w:b/>
          <w:sz w:val="32"/>
        </w:rPr>
        <w:t>财政拨款支出总计2,533.85万元，</w:t>
      </w:r>
      <w:r>
        <w:rPr>
          <w:rFonts w:ascii="仿宋_GB2312" w:hAnsi="仿宋_GB2312" w:eastAsia="仿宋_GB2312"/>
          <w:b w:val="0"/>
          <w:sz w:val="32"/>
        </w:rPr>
        <w:t>其中：年末财政拨款结转和结余0.00万元，本年财政拨款支出2,533.85万元。</w:t>
      </w:r>
    </w:p>
    <w:p w14:paraId="338B7E14">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减少1,583.57万元，下降38.46%，主要原因是：本年减少伊犁州特克斯县阔克苏乡冷水鱼</w:t>
      </w:r>
      <w:r>
        <w:rPr>
          <w:rFonts w:hint="eastAsia" w:ascii="仿宋_GB2312" w:hAnsi="仿宋_GB2312" w:eastAsia="仿宋_GB2312"/>
          <w:b w:val="0"/>
          <w:sz w:val="32"/>
          <w:lang w:eastAsia="zh-CN"/>
        </w:rPr>
        <w:t>养殖场</w:t>
      </w:r>
      <w:r>
        <w:rPr>
          <w:rFonts w:ascii="仿宋_GB2312" w:hAnsi="仿宋_GB2312" w:eastAsia="仿宋_GB2312"/>
          <w:b w:val="0"/>
          <w:sz w:val="32"/>
        </w:rPr>
        <w:t>建设项目；村干部工资2024年6月起由组织部发放，减少马场社区聘用人员10-12月工资及社保资金支付，相应经费较上年减少；本年减少特克斯县言道文化产业园、阔科克苏村综合服务楼（文化活动中心及干部周转房）、室外附属工程建设项目。</w:t>
      </w:r>
      <w:r>
        <w:rPr>
          <w:rFonts w:ascii="仿宋_GB2312" w:hAnsi="仿宋_GB2312" w:eastAsia="仿宋_GB2312"/>
          <w:b/>
          <w:sz w:val="32"/>
        </w:rPr>
        <w:t>与年初预算相比，</w:t>
      </w:r>
      <w:r>
        <w:rPr>
          <w:rFonts w:ascii="仿宋_GB2312" w:hAnsi="仿宋_GB2312" w:eastAsia="仿宋_GB2312"/>
          <w:b w:val="0"/>
          <w:sz w:val="32"/>
        </w:rPr>
        <w:t>年初预算数2,102.23万元，决算数2,533.85万元，预决算差异率20.53%，主要原因是：年中追加人员工资、社保、公积金基数调增部分资金</w:t>
      </w:r>
      <w:r>
        <w:rPr>
          <w:rFonts w:hint="eastAsia" w:ascii="仿宋_GB2312" w:hAnsi="仿宋_GB2312" w:eastAsia="仿宋_GB2312"/>
          <w:b w:val="0"/>
          <w:sz w:val="32"/>
          <w:lang w:eastAsia="zh-CN"/>
        </w:rPr>
        <w:t>；</w:t>
      </w:r>
      <w:r>
        <w:rPr>
          <w:rFonts w:ascii="仿宋_GB2312" w:hAnsi="仿宋_GB2312" w:eastAsia="仿宋_GB2312"/>
          <w:b w:val="0"/>
          <w:sz w:val="32"/>
        </w:rPr>
        <w:t>追加阔克苏乡乡镇干部周转宿舍项目、农村改厕建设项目</w:t>
      </w:r>
      <w:r>
        <w:rPr>
          <w:rFonts w:hint="eastAsia" w:ascii="仿宋_GB2312" w:hAnsi="仿宋_GB2312" w:eastAsia="仿宋_GB2312"/>
          <w:b w:val="0"/>
          <w:sz w:val="32"/>
          <w:lang w:eastAsia="zh-CN"/>
        </w:rPr>
        <w:t>、</w:t>
      </w:r>
      <w:r>
        <w:rPr>
          <w:rFonts w:ascii="仿宋_GB2312" w:hAnsi="仿宋_GB2312" w:eastAsia="仿宋_GB2312"/>
          <w:b w:val="0"/>
          <w:sz w:val="32"/>
        </w:rPr>
        <w:t>特克斯县科克苏镇道路疏通、清理淤泥项目，导致预决算存在差异。</w:t>
      </w:r>
    </w:p>
    <w:p w14:paraId="34EB6CBF">
      <w:pPr>
        <w:spacing w:line="640" w:lineRule="exact"/>
        <w:ind w:firstLine="640"/>
        <w:jc w:val="both"/>
        <w:outlineLvl w:val="2"/>
      </w:pPr>
      <w:r>
        <w:rPr>
          <w:rFonts w:ascii="黑体" w:hAnsi="黑体" w:eastAsia="黑体"/>
          <w:sz w:val="32"/>
        </w:rPr>
        <w:t>五、一般公共预算财政拨款支出决算情况说明</w:t>
      </w:r>
    </w:p>
    <w:p w14:paraId="3BE6EACD">
      <w:pPr>
        <w:spacing w:line="640" w:lineRule="exact"/>
        <w:ind w:firstLine="640"/>
        <w:jc w:val="both"/>
        <w:outlineLvl w:val="3"/>
      </w:pPr>
      <w:r>
        <w:rPr>
          <w:rFonts w:ascii="楷体_GB2312" w:hAnsi="楷体_GB2312" w:eastAsia="楷体_GB2312"/>
          <w:b/>
          <w:sz w:val="32"/>
        </w:rPr>
        <w:t>（一）一般公共预算财政拨款支出决算总体情况</w:t>
      </w:r>
    </w:p>
    <w:p w14:paraId="29144C16">
      <w:pPr>
        <w:spacing w:line="580" w:lineRule="exact"/>
        <w:ind w:firstLine="640"/>
        <w:jc w:val="both"/>
      </w:pPr>
      <w:r>
        <w:rPr>
          <w:rFonts w:ascii="仿宋_GB2312" w:hAnsi="仿宋_GB2312" w:eastAsia="仿宋_GB2312"/>
          <w:b/>
          <w:sz w:val="32"/>
        </w:rPr>
        <w:t>2024年度一般公共预算财政拨款支出2,527.99万元，</w:t>
      </w:r>
      <w:r>
        <w:rPr>
          <w:rFonts w:ascii="仿宋_GB2312" w:hAnsi="仿宋_GB2312" w:eastAsia="仿宋_GB2312"/>
          <w:b w:val="0"/>
          <w:sz w:val="32"/>
        </w:rPr>
        <w:t>占本年支出合计的99.77%。</w:t>
      </w:r>
      <w:r>
        <w:rPr>
          <w:rFonts w:ascii="仿宋_GB2312" w:hAnsi="仿宋_GB2312" w:eastAsia="仿宋_GB2312"/>
          <w:b/>
          <w:sz w:val="32"/>
        </w:rPr>
        <w:t>与上年相比，</w:t>
      </w:r>
      <w:r>
        <w:rPr>
          <w:rFonts w:ascii="仿宋_GB2312" w:hAnsi="仿宋_GB2312" w:eastAsia="仿宋_GB2312"/>
          <w:b w:val="0"/>
          <w:sz w:val="32"/>
        </w:rPr>
        <w:t>减少1,248.43万元，下降33.06%，主要原因是：本年减少伊犁州特克斯县阔克苏乡冷水鱼</w:t>
      </w:r>
      <w:r>
        <w:rPr>
          <w:rFonts w:hint="eastAsia" w:ascii="仿宋_GB2312" w:hAnsi="仿宋_GB2312" w:eastAsia="仿宋_GB2312"/>
          <w:b w:val="0"/>
          <w:sz w:val="32"/>
          <w:lang w:eastAsia="zh-CN"/>
        </w:rPr>
        <w:t>养殖场</w:t>
      </w:r>
      <w:r>
        <w:rPr>
          <w:rFonts w:ascii="仿宋_GB2312" w:hAnsi="仿宋_GB2312" w:eastAsia="仿宋_GB2312"/>
          <w:b w:val="0"/>
          <w:sz w:val="32"/>
        </w:rPr>
        <w:t>建设项目；村干部工资2024年6月起由组织部发放，减少马场社区聘用人员10-12月工资及社保资金支付，相应经费较上年减少。</w:t>
      </w:r>
      <w:r>
        <w:rPr>
          <w:rFonts w:ascii="仿宋_GB2312" w:hAnsi="仿宋_GB2312" w:eastAsia="仿宋_GB2312"/>
          <w:b/>
          <w:sz w:val="32"/>
        </w:rPr>
        <w:t>与年初预算相比,</w:t>
      </w:r>
      <w:r>
        <w:rPr>
          <w:rFonts w:ascii="仿宋_GB2312" w:hAnsi="仿宋_GB2312" w:eastAsia="仿宋_GB2312"/>
          <w:b w:val="0"/>
          <w:sz w:val="32"/>
        </w:rPr>
        <w:t>年初预算数2,101.23万元，决算数2,527.99万元，预决算差异率20.31%，主要原因是：年中追加人员工资、社保、公积金基数调增部分资金，追加阔克苏乡乡镇干部周转宿舍项目、农村改厕建设项目，导致预决算存在差异。</w:t>
      </w:r>
    </w:p>
    <w:p w14:paraId="44C01161">
      <w:pPr>
        <w:spacing w:line="640" w:lineRule="exact"/>
        <w:ind w:firstLine="640"/>
        <w:jc w:val="both"/>
        <w:outlineLvl w:val="3"/>
      </w:pPr>
      <w:r>
        <w:rPr>
          <w:rFonts w:ascii="楷体_GB2312" w:hAnsi="楷体_GB2312" w:eastAsia="楷体_GB2312"/>
          <w:b/>
          <w:sz w:val="32"/>
        </w:rPr>
        <w:t>（二）一般公共预算财政拨款支出决算结构情况</w:t>
      </w:r>
    </w:p>
    <w:p w14:paraId="5382388F">
      <w:pPr>
        <w:spacing w:line="580" w:lineRule="exact"/>
        <w:ind w:firstLine="640"/>
        <w:jc w:val="both"/>
      </w:pPr>
      <w:r>
        <w:rPr>
          <w:rFonts w:ascii="仿宋_GB2312" w:hAnsi="仿宋_GB2312" w:eastAsia="仿宋_GB2312"/>
          <w:b w:val="0"/>
          <w:sz w:val="32"/>
        </w:rPr>
        <w:t>1.一般公共服务支出(类)610.08万元,占24.13%。</w:t>
      </w:r>
    </w:p>
    <w:p w14:paraId="0303AA15">
      <w:pPr>
        <w:spacing w:line="580" w:lineRule="exact"/>
        <w:ind w:firstLine="640"/>
        <w:jc w:val="both"/>
      </w:pPr>
      <w:r>
        <w:rPr>
          <w:rFonts w:ascii="仿宋_GB2312" w:hAnsi="仿宋_GB2312" w:eastAsia="仿宋_GB2312"/>
          <w:b w:val="0"/>
          <w:sz w:val="32"/>
        </w:rPr>
        <w:t>2.文化旅游体育与传媒支出(类)1.31万元,占0.05%。</w:t>
      </w:r>
    </w:p>
    <w:p w14:paraId="6990BBC9">
      <w:pPr>
        <w:spacing w:line="580" w:lineRule="exact"/>
        <w:ind w:firstLine="640"/>
        <w:jc w:val="both"/>
      </w:pPr>
      <w:r>
        <w:rPr>
          <w:rFonts w:ascii="仿宋_GB2312" w:hAnsi="仿宋_GB2312" w:eastAsia="仿宋_GB2312"/>
          <w:b w:val="0"/>
          <w:sz w:val="32"/>
        </w:rPr>
        <w:t>3.社会保障和就业支出(类)183.06万元,占7.24%。</w:t>
      </w:r>
    </w:p>
    <w:p w14:paraId="28B5E48D">
      <w:pPr>
        <w:spacing w:line="580" w:lineRule="exact"/>
        <w:ind w:firstLine="640"/>
        <w:jc w:val="both"/>
      </w:pPr>
      <w:r>
        <w:rPr>
          <w:rFonts w:ascii="仿宋_GB2312" w:hAnsi="仿宋_GB2312" w:eastAsia="仿宋_GB2312"/>
          <w:b w:val="0"/>
          <w:sz w:val="32"/>
        </w:rPr>
        <w:t>4.卫生健康支出(类)940.31万元,占37.20%。</w:t>
      </w:r>
    </w:p>
    <w:p w14:paraId="5F4819A9">
      <w:pPr>
        <w:spacing w:line="580" w:lineRule="exact"/>
        <w:ind w:firstLine="640"/>
        <w:jc w:val="both"/>
      </w:pPr>
      <w:r>
        <w:rPr>
          <w:rFonts w:ascii="仿宋_GB2312" w:hAnsi="仿宋_GB2312" w:eastAsia="仿宋_GB2312"/>
          <w:b w:val="0"/>
          <w:sz w:val="32"/>
        </w:rPr>
        <w:t>5.城乡社区支出(类)147.14万元,占5.82%。</w:t>
      </w:r>
    </w:p>
    <w:p w14:paraId="45BA37FA">
      <w:pPr>
        <w:spacing w:line="580" w:lineRule="exact"/>
        <w:ind w:firstLine="640"/>
        <w:jc w:val="both"/>
      </w:pPr>
      <w:r>
        <w:rPr>
          <w:rFonts w:ascii="仿宋_GB2312" w:hAnsi="仿宋_GB2312" w:eastAsia="仿宋_GB2312"/>
          <w:b w:val="0"/>
          <w:sz w:val="32"/>
        </w:rPr>
        <w:t>6.农林水支出(类)430.32万元,占17.02%。</w:t>
      </w:r>
    </w:p>
    <w:p w14:paraId="0223B0FA">
      <w:pPr>
        <w:spacing w:line="580" w:lineRule="exact"/>
        <w:ind w:firstLine="640"/>
        <w:jc w:val="both"/>
      </w:pPr>
      <w:r>
        <w:rPr>
          <w:rFonts w:ascii="仿宋_GB2312" w:hAnsi="仿宋_GB2312" w:eastAsia="仿宋_GB2312"/>
          <w:b w:val="0"/>
          <w:sz w:val="32"/>
        </w:rPr>
        <w:t>7.住房保障支出(类)215.78万元,占8.54%。</w:t>
      </w:r>
    </w:p>
    <w:p w14:paraId="2486E344">
      <w:pPr>
        <w:spacing w:line="640" w:lineRule="exact"/>
        <w:ind w:firstLine="640"/>
        <w:jc w:val="both"/>
        <w:outlineLvl w:val="3"/>
      </w:pPr>
      <w:r>
        <w:rPr>
          <w:rFonts w:ascii="楷体_GB2312" w:hAnsi="楷体_GB2312" w:eastAsia="楷体_GB2312"/>
          <w:b/>
          <w:sz w:val="32"/>
        </w:rPr>
        <w:t>（三）一般公共预算财政拨款支出决算具体情况</w:t>
      </w:r>
    </w:p>
    <w:p w14:paraId="1AC03BFC">
      <w:pPr>
        <w:spacing w:line="580" w:lineRule="exact"/>
        <w:ind w:firstLine="640"/>
        <w:jc w:val="both"/>
      </w:pPr>
      <w:r>
        <w:rPr>
          <w:rFonts w:ascii="仿宋_GB2312" w:hAnsi="仿宋_GB2312" w:eastAsia="仿宋_GB2312"/>
          <w:b w:val="0"/>
          <w:sz w:val="32"/>
        </w:rPr>
        <w:t>1.一般公共服务支出(类)政府办公厅（室）及相关机构事务(款)行政运行(项):支出决算数为482.26万元，比上年决算减少790.74万元，下降62.12%,主要原因是：本年功能科目调整，计生站人员工资</w:t>
      </w:r>
      <w:r>
        <w:rPr>
          <w:rFonts w:hint="eastAsia" w:ascii="仿宋_GB2312" w:hAnsi="仿宋_GB2312" w:eastAsia="仿宋_GB2312"/>
          <w:b w:val="0"/>
          <w:sz w:val="32"/>
          <w:lang w:val="en-US" w:eastAsia="zh-CN"/>
        </w:rPr>
        <w:t>绩效</w:t>
      </w:r>
      <w:r>
        <w:rPr>
          <w:rFonts w:ascii="仿宋_GB2312" w:hAnsi="仿宋_GB2312" w:eastAsia="仿宋_GB2312"/>
          <w:b w:val="0"/>
          <w:sz w:val="32"/>
        </w:rPr>
        <w:t>上年度在行政运行列支，本年</w:t>
      </w:r>
      <w:r>
        <w:rPr>
          <w:rFonts w:hint="eastAsia" w:ascii="仿宋_GB2312" w:hAnsi="仿宋_GB2312" w:eastAsia="仿宋_GB2312"/>
          <w:b w:val="0"/>
          <w:sz w:val="32"/>
          <w:lang w:val="en-US" w:eastAsia="zh-CN"/>
        </w:rPr>
        <w:t>调整至</w:t>
      </w:r>
      <w:r>
        <w:rPr>
          <w:rFonts w:ascii="仿宋_GB2312" w:hAnsi="仿宋_GB2312" w:eastAsia="仿宋_GB2312"/>
          <w:b w:val="0"/>
          <w:sz w:val="32"/>
        </w:rPr>
        <w:t>其他计划生育事务支出列支，导致经费较上年减少。</w:t>
      </w:r>
    </w:p>
    <w:p w14:paraId="3E9C053E">
      <w:pPr>
        <w:spacing w:line="580" w:lineRule="exact"/>
        <w:ind w:firstLine="640"/>
        <w:jc w:val="both"/>
      </w:pPr>
      <w:r>
        <w:rPr>
          <w:rFonts w:ascii="仿宋_GB2312" w:hAnsi="仿宋_GB2312" w:eastAsia="仿宋_GB2312"/>
          <w:b w:val="0"/>
          <w:sz w:val="32"/>
        </w:rPr>
        <w:t>2.一般公共服务支出(类)政府办公厅（室）及相关机构事务(款)事业运行(项):支出决算数为0.20万元，比上年决算增加0.20万元，增长100.00%,主要原因是：本年此科目列支新招录人员采暖补贴经费。</w:t>
      </w:r>
    </w:p>
    <w:p w14:paraId="4A420BC6">
      <w:pPr>
        <w:spacing w:line="580" w:lineRule="exact"/>
        <w:ind w:firstLine="640"/>
        <w:jc w:val="both"/>
      </w:pPr>
      <w:r>
        <w:rPr>
          <w:rFonts w:ascii="仿宋_GB2312" w:hAnsi="仿宋_GB2312" w:eastAsia="仿宋_GB2312"/>
          <w:b w:val="0"/>
          <w:sz w:val="32"/>
        </w:rPr>
        <w:t>3.一般公共服务支出(类)纪检监察事务(款)其他纪检监察事务支出(项):支出决算数为2.00万元，比上年决算增加2.00万元，增长100.00%,主要原因是：本年</w:t>
      </w:r>
      <w:r>
        <w:rPr>
          <w:rFonts w:hint="eastAsia" w:ascii="仿宋_GB2312" w:hAnsi="仿宋_GB2312" w:eastAsia="仿宋_GB2312"/>
          <w:b w:val="0"/>
          <w:sz w:val="32"/>
          <w:lang w:val="en-US" w:eastAsia="zh-CN"/>
        </w:rPr>
        <w:t>增加</w:t>
      </w:r>
      <w:r>
        <w:rPr>
          <w:rFonts w:ascii="仿宋_GB2312" w:hAnsi="仿宋_GB2312" w:eastAsia="仿宋_GB2312"/>
          <w:b w:val="0"/>
          <w:sz w:val="32"/>
        </w:rPr>
        <w:t>上级拨付纪检监察转移支付办案经费、装备经费。</w:t>
      </w:r>
    </w:p>
    <w:p w14:paraId="07CD34FC">
      <w:pPr>
        <w:spacing w:line="580" w:lineRule="exact"/>
        <w:ind w:firstLine="640"/>
        <w:jc w:val="both"/>
      </w:pPr>
      <w:r>
        <w:rPr>
          <w:rFonts w:ascii="仿宋_GB2312" w:hAnsi="仿宋_GB2312" w:eastAsia="仿宋_GB2312"/>
          <w:b w:val="0"/>
          <w:sz w:val="32"/>
        </w:rPr>
        <w:t>4.一般公共服务支出(类)组织事务(款)其他组织事务支出(项):支出决算数为125.62万元，比上年决算减少64.92万元，下降34.07%,主要原因是：本年度三老四类人员补助由组织部发放，故经费支出减少。</w:t>
      </w:r>
    </w:p>
    <w:p w14:paraId="694B0504">
      <w:pPr>
        <w:spacing w:line="580" w:lineRule="exact"/>
        <w:ind w:firstLine="640"/>
        <w:jc w:val="both"/>
      </w:pPr>
      <w:r>
        <w:rPr>
          <w:rFonts w:ascii="仿宋_GB2312" w:hAnsi="仿宋_GB2312" w:eastAsia="仿宋_GB2312"/>
          <w:b w:val="0"/>
          <w:sz w:val="32"/>
        </w:rPr>
        <w:t>5.文化旅游体育与传媒支出(类)文化和旅游(款)群众文化(项):支出决算数为1.31万元，比上年决算增加1.31万元，增长100.00%,主要原因是：本科目增加文体广电服务中心人员基本工资。</w:t>
      </w:r>
    </w:p>
    <w:p w14:paraId="4168A2F9">
      <w:pPr>
        <w:spacing w:line="580" w:lineRule="exact"/>
        <w:ind w:firstLine="640"/>
        <w:jc w:val="both"/>
      </w:pPr>
      <w:r>
        <w:rPr>
          <w:rFonts w:ascii="仿宋_GB2312" w:hAnsi="仿宋_GB2312" w:eastAsia="仿宋_GB2312"/>
          <w:b w:val="0"/>
          <w:sz w:val="32"/>
        </w:rPr>
        <w:t>6.社会保障和就业支出(类)行政事业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基本养老保险缴费支出(项):支出决算数为160.73万元，比上年决算增加21.40万元，增长15.36%,主要原因是：本年在职人员工资基数调增，养老缴费基数上涨，相应支出增加。</w:t>
      </w:r>
    </w:p>
    <w:p w14:paraId="1F7F69C4">
      <w:pPr>
        <w:spacing w:line="580" w:lineRule="exact"/>
        <w:ind w:firstLine="640"/>
        <w:jc w:val="both"/>
      </w:pPr>
      <w:r>
        <w:rPr>
          <w:rFonts w:ascii="仿宋_GB2312" w:hAnsi="仿宋_GB2312" w:eastAsia="仿宋_GB2312"/>
          <w:b w:val="0"/>
          <w:sz w:val="32"/>
        </w:rPr>
        <w:t>7.社会保障和就业支出(类)行政事业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养老支出(款)机关事业</w:t>
      </w:r>
      <w:r>
        <w:rPr>
          <w:rFonts w:hint="eastAsia" w:ascii="仿宋_GB2312" w:hAnsi="仿宋_GB2312" w:eastAsia="仿宋_GB2312"/>
          <w:b w:val="0"/>
          <w:sz w:val="32"/>
          <w:lang w:eastAsia="zh-CN"/>
        </w:rPr>
        <w:t>单位</w:t>
      </w:r>
      <w:r>
        <w:rPr>
          <w:rFonts w:ascii="仿宋_GB2312" w:hAnsi="仿宋_GB2312" w:eastAsia="仿宋_GB2312"/>
          <w:b w:val="0"/>
          <w:sz w:val="32"/>
        </w:rPr>
        <w:t>职业年金缴费支出(项):支出决算数为10.05万元，比上年决算增加5.23万元，增长108.51%,主要原因是：本年新增退休人员较上年增加，职业年金缴费支出增加。</w:t>
      </w:r>
    </w:p>
    <w:p w14:paraId="587DC5D4">
      <w:pPr>
        <w:spacing w:line="580" w:lineRule="exact"/>
        <w:ind w:firstLine="640"/>
        <w:jc w:val="both"/>
      </w:pPr>
      <w:r>
        <w:rPr>
          <w:rFonts w:ascii="仿宋_GB2312" w:hAnsi="仿宋_GB2312" w:eastAsia="仿宋_GB2312"/>
          <w:b w:val="0"/>
          <w:sz w:val="32"/>
        </w:rPr>
        <w:t>8.社会保障和就业支出(类)抚恤(款)死亡抚恤(项):支出决算数为2.88万元，比上年决算增加0.00万元，增长0.00%,主要原因是：本年</w:t>
      </w:r>
      <w:r>
        <w:rPr>
          <w:rFonts w:hint="eastAsia" w:ascii="仿宋_GB2312" w:hAnsi="仿宋_GB2312" w:eastAsia="仿宋_GB2312"/>
          <w:b w:val="0"/>
          <w:sz w:val="32"/>
          <w:lang w:val="en-US" w:eastAsia="zh-CN"/>
        </w:rPr>
        <w:t>遗属人员生活补助</w:t>
      </w:r>
      <w:r>
        <w:rPr>
          <w:rFonts w:ascii="仿宋_GB2312" w:hAnsi="仿宋_GB2312" w:eastAsia="仿宋_GB2312"/>
          <w:b w:val="0"/>
          <w:sz w:val="32"/>
        </w:rPr>
        <w:t>与上年一致</w:t>
      </w:r>
      <w:r>
        <w:rPr>
          <w:rFonts w:hint="eastAsia" w:ascii="仿宋_GB2312" w:hAnsi="仿宋_GB2312" w:eastAsia="仿宋_GB2312"/>
          <w:b w:val="0"/>
          <w:sz w:val="32"/>
          <w:lang w:val="en-US" w:eastAsia="zh-CN"/>
        </w:rPr>
        <w:t>无变化</w:t>
      </w:r>
      <w:r>
        <w:rPr>
          <w:rFonts w:ascii="仿宋_GB2312" w:hAnsi="仿宋_GB2312" w:eastAsia="仿宋_GB2312"/>
          <w:b w:val="0"/>
          <w:sz w:val="32"/>
        </w:rPr>
        <w:t>。</w:t>
      </w:r>
    </w:p>
    <w:p w14:paraId="62279745">
      <w:pPr>
        <w:spacing w:line="580" w:lineRule="exact"/>
        <w:ind w:firstLine="640"/>
        <w:jc w:val="both"/>
      </w:pPr>
      <w:r>
        <w:rPr>
          <w:rFonts w:ascii="仿宋_GB2312" w:hAnsi="仿宋_GB2312" w:eastAsia="仿宋_GB2312"/>
          <w:b w:val="0"/>
          <w:sz w:val="32"/>
        </w:rPr>
        <w:t>9.社会保障和就业支出(类)临时救助(款)临时救助支出(项):支出决算数为9.40万元，比上年决算增加3.40万元，增长56.67%,主要原因是：本年度临时救助支出增加。</w:t>
      </w:r>
    </w:p>
    <w:p w14:paraId="1EB2AFA1">
      <w:pPr>
        <w:spacing w:line="580" w:lineRule="exact"/>
        <w:ind w:firstLine="640"/>
        <w:jc w:val="both"/>
      </w:pPr>
      <w:r>
        <w:rPr>
          <w:rFonts w:ascii="仿宋_GB2312" w:hAnsi="仿宋_GB2312" w:eastAsia="仿宋_GB2312"/>
          <w:b w:val="0"/>
          <w:sz w:val="32"/>
        </w:rPr>
        <w:t>10.卫生健康支出(类)计划生育事务(款)其他计划生育事务支出(项):支出决算数为871.51万元，比上年决算增加871.51万元，增长100.00%,主要原因是：本年度计生服务站人员绩效工资从行政运行科目调整至本科目列支，导致经费增加。</w:t>
      </w:r>
    </w:p>
    <w:p w14:paraId="7C501A61">
      <w:pPr>
        <w:spacing w:line="580" w:lineRule="exact"/>
        <w:ind w:firstLine="640"/>
        <w:jc w:val="both"/>
      </w:pPr>
      <w:r>
        <w:rPr>
          <w:rFonts w:ascii="仿宋_GB2312" w:hAnsi="仿宋_GB2312" w:eastAsia="仿宋_GB2312"/>
          <w:b w:val="0"/>
          <w:sz w:val="32"/>
        </w:rPr>
        <w:t>11.卫生健康支出(类)行政事业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医疗(款)行政</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医疗(项):支出决算数为23.26万元，比上年决算增加11.29万元，增长94.32%,主要原因是：本年行政在职人员工资基数调增，医疗缴费基数上涨，相应支出增加。</w:t>
      </w:r>
    </w:p>
    <w:p w14:paraId="7CF475BF">
      <w:pPr>
        <w:spacing w:line="580" w:lineRule="exact"/>
        <w:ind w:firstLine="640"/>
        <w:jc w:val="both"/>
      </w:pPr>
      <w:r>
        <w:rPr>
          <w:rFonts w:ascii="仿宋_GB2312" w:hAnsi="仿宋_GB2312" w:eastAsia="仿宋_GB2312"/>
          <w:b w:val="0"/>
          <w:sz w:val="32"/>
        </w:rPr>
        <w:t>12.卫生健康支出(类)行政事业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医疗(款)事业</w:t>
      </w:r>
      <w:r>
        <w:rPr>
          <w:rFonts w:hint="eastAsia" w:ascii="仿宋_GB2312" w:hAnsi="仿宋_GB2312" w:eastAsia="仿宋_GB2312"/>
          <w:b w:val="0"/>
          <w:sz w:val="32"/>
          <w:lang w:eastAsia="zh-CN"/>
        </w:rPr>
        <w:t>单位</w:t>
      </w:r>
      <w:r>
        <w:rPr>
          <w:rFonts w:ascii="仿宋_GB2312" w:hAnsi="仿宋_GB2312" w:eastAsia="仿宋_GB2312"/>
          <w:b w:val="0"/>
          <w:sz w:val="32"/>
        </w:rPr>
        <w:t>医疗(项):支出决算数为43.82万元，比上年决算减少4.89万元，下降10.04%,主要原因是：本年事业在职人员减少，事业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医疗支出较上年减少。</w:t>
      </w:r>
    </w:p>
    <w:p w14:paraId="080F4DDC">
      <w:pPr>
        <w:spacing w:line="580" w:lineRule="exact"/>
        <w:ind w:firstLine="640"/>
        <w:jc w:val="both"/>
      </w:pPr>
      <w:r>
        <w:rPr>
          <w:rFonts w:ascii="仿宋_GB2312" w:hAnsi="仿宋_GB2312" w:eastAsia="仿宋_GB2312"/>
          <w:b w:val="0"/>
          <w:sz w:val="32"/>
        </w:rPr>
        <w:t>13.卫生健康支出(类)行政事业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医疗(款)公务员医疗补助(项):支出决算数为0.39万元，比上年决算增加0.02万元，增长5.41%,主要原因是：本年行政在职人员工资基数调增，医疗缴费基数上涨，相应支出增加。</w:t>
      </w:r>
    </w:p>
    <w:p w14:paraId="41CB4ABA">
      <w:pPr>
        <w:spacing w:line="580" w:lineRule="exact"/>
        <w:ind w:firstLine="640"/>
        <w:jc w:val="both"/>
      </w:pPr>
      <w:r>
        <w:rPr>
          <w:rFonts w:ascii="仿宋_GB2312" w:hAnsi="仿宋_GB2312" w:eastAsia="仿宋_GB2312"/>
          <w:b w:val="0"/>
          <w:sz w:val="32"/>
        </w:rPr>
        <w:t>14.卫生健康支出(类)行政事业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医疗(款)其他行政事业</w:t>
      </w:r>
      <w:r>
        <w:rPr>
          <w:rFonts w:hint="eastAsia" w:ascii="仿宋_GB2312" w:hAnsi="仿宋_GB2312" w:eastAsia="仿宋_GB2312"/>
          <w:b w:val="0"/>
          <w:sz w:val="32"/>
          <w:lang w:eastAsia="zh-CN"/>
        </w:rPr>
        <w:t>单位</w:t>
      </w:r>
      <w:r>
        <w:rPr>
          <w:rFonts w:ascii="仿宋_GB2312" w:hAnsi="仿宋_GB2312" w:eastAsia="仿宋_GB2312"/>
          <w:b w:val="0"/>
          <w:sz w:val="32"/>
        </w:rPr>
        <w:t>医疗支出(项):支出决算数为1.34万元，比上年决算减少0.17万元，下降11.26%,主要原因是：因退休人员医疗保险制度改革，退休人员大病医疗不再由</w:t>
      </w:r>
      <w:r>
        <w:rPr>
          <w:rFonts w:hint="eastAsia" w:ascii="仿宋_GB2312" w:hAnsi="仿宋_GB2312" w:eastAsia="仿宋_GB2312"/>
          <w:b w:val="0"/>
          <w:sz w:val="32"/>
          <w:lang w:eastAsia="zh-CN"/>
        </w:rPr>
        <w:t>单位</w:t>
      </w:r>
      <w:r>
        <w:rPr>
          <w:rFonts w:ascii="仿宋_GB2312" w:hAnsi="仿宋_GB2312" w:eastAsia="仿宋_GB2312"/>
          <w:b w:val="0"/>
          <w:sz w:val="32"/>
        </w:rPr>
        <w:t>缴纳，导致经费较上年减少。</w:t>
      </w:r>
    </w:p>
    <w:p w14:paraId="709A37A3">
      <w:pPr>
        <w:spacing w:line="580" w:lineRule="exact"/>
        <w:ind w:firstLine="640"/>
        <w:jc w:val="both"/>
      </w:pPr>
      <w:r>
        <w:rPr>
          <w:rFonts w:ascii="仿宋_GB2312" w:hAnsi="仿宋_GB2312" w:eastAsia="仿宋_GB2312"/>
          <w:b w:val="0"/>
          <w:sz w:val="32"/>
        </w:rPr>
        <w:t>15.节能环保支出(类)天然林保护(款)森林管护(项):支出决算数为0.00万元，比上年决算减少40.00万元，下降100.00%,主要原因是：本年度减少2023年乡村绿化美丽建设项目资金支付。</w:t>
      </w:r>
    </w:p>
    <w:p w14:paraId="11E39EE7">
      <w:pPr>
        <w:spacing w:line="580" w:lineRule="exact"/>
        <w:ind w:firstLine="640"/>
        <w:jc w:val="both"/>
      </w:pPr>
      <w:r>
        <w:rPr>
          <w:rFonts w:ascii="仿宋_GB2312" w:hAnsi="仿宋_GB2312" w:eastAsia="仿宋_GB2312"/>
          <w:b w:val="0"/>
          <w:sz w:val="32"/>
        </w:rPr>
        <w:t>16.城乡社区支出(类)城乡社区公共设施(款)其他城乡社区公共设施支出(项):支出决算数为147.14万元，比上年决算减少11.57万元，下降7.29%,主要原因是：本年度特克斯县阔克苏乡阿克仓村村民服务中心建设项目资金较上年减少。</w:t>
      </w:r>
    </w:p>
    <w:p w14:paraId="4C2C3E2F">
      <w:pPr>
        <w:spacing w:line="580" w:lineRule="exact"/>
        <w:ind w:firstLine="640"/>
        <w:jc w:val="both"/>
      </w:pPr>
      <w:r>
        <w:rPr>
          <w:rFonts w:ascii="仿宋_GB2312" w:hAnsi="仿宋_GB2312" w:eastAsia="仿宋_GB2312"/>
          <w:b w:val="0"/>
          <w:sz w:val="32"/>
        </w:rPr>
        <w:t>17.农林水支出(类)巩固脱贫攻坚成果衔接乡村振兴(款)生产发展(项):支出决算数为32.56万元，比上年决算减少1,102.72万元，下降97.13%,主要原因是：本年度减少伊犁州特克斯县阔克苏乡冷水鱼</w:t>
      </w:r>
      <w:r>
        <w:rPr>
          <w:rFonts w:hint="eastAsia" w:ascii="仿宋_GB2312" w:hAnsi="仿宋_GB2312" w:eastAsia="仿宋_GB2312"/>
          <w:b w:val="0"/>
          <w:sz w:val="32"/>
          <w:lang w:eastAsia="zh-CN"/>
        </w:rPr>
        <w:t>养殖场</w:t>
      </w:r>
      <w:r>
        <w:rPr>
          <w:rFonts w:ascii="仿宋_GB2312" w:hAnsi="仿宋_GB2312" w:eastAsia="仿宋_GB2312"/>
          <w:b w:val="0"/>
          <w:sz w:val="32"/>
        </w:rPr>
        <w:t>建设项目。</w:t>
      </w:r>
    </w:p>
    <w:p w14:paraId="097DE2BC">
      <w:pPr>
        <w:spacing w:line="580" w:lineRule="exact"/>
        <w:ind w:firstLine="640"/>
        <w:jc w:val="both"/>
      </w:pPr>
      <w:r>
        <w:rPr>
          <w:rFonts w:ascii="仿宋_GB2312" w:hAnsi="仿宋_GB2312" w:eastAsia="仿宋_GB2312"/>
          <w:b w:val="0"/>
          <w:sz w:val="32"/>
        </w:rPr>
        <w:t>18.农林水支出(类)巩固脱贫攻坚成果衔接乡村振兴(款)其他巩固脱贫攻坚成果衔接乡村振兴支出(项):支出决算数为28.33万元，比上年决算减少3.03万元，下降9.66%,主要原因是：本年度农村改厕建设资金支出较上年减少。</w:t>
      </w:r>
    </w:p>
    <w:p w14:paraId="169E9F98">
      <w:pPr>
        <w:spacing w:line="580" w:lineRule="exact"/>
        <w:ind w:firstLine="640"/>
        <w:jc w:val="both"/>
      </w:pPr>
      <w:r>
        <w:rPr>
          <w:rFonts w:ascii="仿宋_GB2312" w:hAnsi="仿宋_GB2312" w:eastAsia="仿宋_GB2312"/>
          <w:b w:val="0"/>
          <w:sz w:val="32"/>
        </w:rPr>
        <w:t>19.农林水支出(类)农村综合改革(款)对村级公益事业建设的补助(项):支出决算数为0.00万元，比上年决算减少30.00万元，下降100.00%,主要原因是：本年度减少一事一议资金支出。</w:t>
      </w:r>
    </w:p>
    <w:p w14:paraId="49DCB351">
      <w:pPr>
        <w:spacing w:line="580" w:lineRule="exact"/>
        <w:ind w:firstLine="640"/>
        <w:jc w:val="both"/>
      </w:pPr>
      <w:r>
        <w:rPr>
          <w:rFonts w:ascii="仿宋_GB2312" w:hAnsi="仿宋_GB2312" w:eastAsia="仿宋_GB2312"/>
          <w:b w:val="0"/>
          <w:sz w:val="32"/>
        </w:rPr>
        <w:t>20.农林水支出(类)农村综合改革(款)对村民委员会和村党支部的补助(项):支出决算数为369.42万元，比上年决算减少221.75万元，下降37.51%,主要原因是：村干部工资2024年6月起由组织部发放，减少马场社区聘用人员10-12月工资及社保资金支付。</w:t>
      </w:r>
    </w:p>
    <w:p w14:paraId="11B27DFF">
      <w:pPr>
        <w:spacing w:line="580" w:lineRule="exact"/>
        <w:ind w:firstLine="640"/>
        <w:jc w:val="both"/>
      </w:pPr>
      <w:r>
        <w:rPr>
          <w:rFonts w:ascii="仿宋_GB2312" w:hAnsi="仿宋_GB2312" w:eastAsia="仿宋_GB2312"/>
          <w:b w:val="0"/>
          <w:sz w:val="32"/>
        </w:rPr>
        <w:t>21.住房保障支出(类)保障性安居工程支出(款)少数民族地区游牧民定居工程(项):支出决算数为48.00万元，比上年决算增加48.00万元，增长100.00%,主要原因是：本年新增2024年城乡抗震安居工程建设民生实事资金项目。</w:t>
      </w:r>
    </w:p>
    <w:p w14:paraId="656C9EE8">
      <w:pPr>
        <w:spacing w:line="580" w:lineRule="exact"/>
        <w:ind w:firstLine="640"/>
        <w:jc w:val="both"/>
      </w:pPr>
      <w:r>
        <w:rPr>
          <w:rFonts w:ascii="仿宋_GB2312" w:hAnsi="仿宋_GB2312" w:eastAsia="仿宋_GB2312"/>
          <w:b w:val="0"/>
          <w:sz w:val="32"/>
        </w:rPr>
        <w:t>22.住房保障支出(类)住房改革支出(款)住房公积金(项):支出决算数为127.78万元，比上年决算增加17.01万元，增长15.36%,主要原因是：本年在职人员工资基数调增，公积金缴费基数上涨，相应支出增加。</w:t>
      </w:r>
    </w:p>
    <w:p w14:paraId="7B0DFD47">
      <w:pPr>
        <w:spacing w:line="580" w:lineRule="exact"/>
        <w:ind w:firstLine="640"/>
        <w:jc w:val="both"/>
      </w:pPr>
      <w:r>
        <w:rPr>
          <w:rFonts w:ascii="仿宋_GB2312" w:hAnsi="仿宋_GB2312" w:eastAsia="仿宋_GB2312"/>
          <w:b w:val="0"/>
          <w:sz w:val="32"/>
        </w:rPr>
        <w:t>23.住房保障支出(类)城乡社区住宅(款)公有住房建设和维修改造支出(项):支出决算数为40.00万元，比上年决算增加40.00万元，增长100.00%,主要原因是：本年新增阔克苏乡乡镇干部周转宿舍项目。</w:t>
      </w:r>
    </w:p>
    <w:p w14:paraId="3FD7654C">
      <w:pPr>
        <w:spacing w:line="640" w:lineRule="exact"/>
        <w:ind w:firstLine="640"/>
        <w:jc w:val="both"/>
        <w:outlineLvl w:val="2"/>
      </w:pPr>
      <w:r>
        <w:rPr>
          <w:rFonts w:ascii="黑体" w:hAnsi="黑体" w:eastAsia="黑体"/>
          <w:sz w:val="32"/>
        </w:rPr>
        <w:t>六、一般公共预算财政拨款基本支出决算情况说明</w:t>
      </w:r>
    </w:p>
    <w:p w14:paraId="35B4554F">
      <w:pPr>
        <w:spacing w:line="580" w:lineRule="exact"/>
        <w:ind w:firstLine="640"/>
        <w:jc w:val="both"/>
      </w:pPr>
      <w:r>
        <w:rPr>
          <w:rFonts w:ascii="仿宋_GB2312" w:hAnsi="仿宋_GB2312" w:eastAsia="仿宋_GB2312"/>
          <w:b w:val="0"/>
          <w:sz w:val="32"/>
        </w:rPr>
        <w:t>2024年度一般公共预算财政拨款基本支出2,231.96万元，其中：</w:t>
      </w:r>
      <w:r>
        <w:rPr>
          <w:rFonts w:ascii="仿宋_GB2312" w:hAnsi="仿宋_GB2312" w:eastAsia="仿宋_GB2312"/>
          <w:b/>
          <w:sz w:val="32"/>
        </w:rPr>
        <w:t>人员经费2,031.64万元，</w:t>
      </w:r>
      <w:r>
        <w:rPr>
          <w:rFonts w:ascii="仿宋_GB2312" w:hAnsi="仿宋_GB2312" w:eastAsia="仿宋_GB2312"/>
          <w:b w:val="0"/>
          <w:sz w:val="32"/>
        </w:rPr>
        <w:t>包括：基本工资、津贴补贴、奖金、绩效工资、机关事业</w:t>
      </w:r>
      <w:r>
        <w:rPr>
          <w:rFonts w:hint="eastAsia" w:ascii="仿宋_GB2312" w:hAnsi="仿宋_GB2312" w:eastAsia="仿宋_GB2312"/>
          <w:b w:val="0"/>
          <w:sz w:val="32"/>
          <w:lang w:eastAsia="zh-CN"/>
        </w:rPr>
        <w:t>单位</w:t>
      </w:r>
      <w:r>
        <w:rPr>
          <w:rFonts w:ascii="仿宋_GB2312" w:hAnsi="仿宋_GB2312" w:eastAsia="仿宋_GB2312"/>
          <w:b w:val="0"/>
          <w:sz w:val="32"/>
        </w:rPr>
        <w:t>基本养老保险缴费、职业年金缴费、职工基本医疗保险缴费、公务员医疗补助缴费、其他社会保障缴费、住房公积金、其他工资福利支出、退休费、生活补助。</w:t>
      </w:r>
    </w:p>
    <w:p w14:paraId="2F2367A4">
      <w:pPr>
        <w:spacing w:line="580" w:lineRule="exact"/>
        <w:ind w:firstLine="640"/>
        <w:jc w:val="both"/>
      </w:pPr>
      <w:r>
        <w:rPr>
          <w:rFonts w:ascii="仿宋_GB2312" w:hAnsi="仿宋_GB2312" w:eastAsia="仿宋_GB2312"/>
          <w:b/>
          <w:sz w:val="32"/>
        </w:rPr>
        <w:t>公用经费200.32万元，</w:t>
      </w:r>
      <w:r>
        <w:rPr>
          <w:rFonts w:ascii="仿宋_GB2312" w:hAnsi="仿宋_GB2312" w:eastAsia="仿宋_GB2312"/>
          <w:b w:val="0"/>
          <w:sz w:val="32"/>
        </w:rPr>
        <w:t>包括：办公费、水费、电费、邮电费、取暖费、差旅费、工会经费、公务用车运行维护费、税金及附加费用、办公设备购置。</w:t>
      </w:r>
    </w:p>
    <w:p w14:paraId="00D0B37F">
      <w:pPr>
        <w:spacing w:line="640" w:lineRule="exact"/>
        <w:ind w:firstLine="640"/>
        <w:jc w:val="both"/>
        <w:outlineLvl w:val="2"/>
      </w:pPr>
      <w:r>
        <w:rPr>
          <w:rFonts w:ascii="黑体" w:hAnsi="黑体" w:eastAsia="黑体"/>
          <w:sz w:val="32"/>
        </w:rPr>
        <w:t>七、政府性基金预算财政拨款收入支出决算情况说明</w:t>
      </w:r>
    </w:p>
    <w:p w14:paraId="4BF41EE1">
      <w:pPr>
        <w:spacing w:line="580" w:lineRule="exact"/>
        <w:ind w:firstLine="640"/>
        <w:jc w:val="both"/>
      </w:pPr>
      <w:r>
        <w:rPr>
          <w:rFonts w:ascii="仿宋_GB2312" w:hAnsi="仿宋_GB2312" w:eastAsia="仿宋_GB2312"/>
          <w:b/>
          <w:sz w:val="32"/>
        </w:rPr>
        <w:t>2024年度政府性基金预算财政拨款收入总计5.00万元，</w:t>
      </w:r>
      <w:r>
        <w:rPr>
          <w:rFonts w:ascii="仿宋_GB2312" w:hAnsi="仿宋_GB2312" w:eastAsia="仿宋_GB2312"/>
          <w:b w:val="0"/>
          <w:sz w:val="32"/>
        </w:rPr>
        <w:t>其中：年初结转和结余0.00万元，本年收入5.00万元。</w:t>
      </w:r>
      <w:r>
        <w:rPr>
          <w:rFonts w:ascii="仿宋_GB2312" w:hAnsi="仿宋_GB2312" w:eastAsia="仿宋_GB2312"/>
          <w:b/>
          <w:sz w:val="32"/>
        </w:rPr>
        <w:t>政府性基金预算财政拨款支出总计5.00万元，</w:t>
      </w:r>
      <w:r>
        <w:rPr>
          <w:rFonts w:ascii="仿宋_GB2312" w:hAnsi="仿宋_GB2312" w:eastAsia="仿宋_GB2312"/>
          <w:b w:val="0"/>
          <w:sz w:val="32"/>
        </w:rPr>
        <w:t>其中：年末结转和结余0.00万元，本年支出5.00万元。</w:t>
      </w:r>
    </w:p>
    <w:p w14:paraId="7F530AEA">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减少336.00万元，下降98.53%，主要原因是：本年度减少特克斯县言道文化产业园项目、阔科克苏村综合服务楼（文化活动中心及干部周转房）、室外附属工程建设项目。</w:t>
      </w:r>
      <w:r>
        <w:rPr>
          <w:rFonts w:ascii="仿宋_GB2312" w:hAnsi="仿宋_GB2312" w:eastAsia="仿宋_GB2312"/>
          <w:b/>
          <w:sz w:val="32"/>
        </w:rPr>
        <w:t>与年初预算相比，</w:t>
      </w:r>
      <w:r>
        <w:rPr>
          <w:rFonts w:ascii="仿宋_GB2312" w:hAnsi="仿宋_GB2312" w:eastAsia="仿宋_GB2312"/>
          <w:b w:val="0"/>
          <w:sz w:val="32"/>
        </w:rPr>
        <w:t>年初预算数0.00万元，决算数5.00万元，预决算差异率100.00%，主要原因是：年中追加特克斯县科克苏镇道路疏通、清理淤泥项目，导致预决算存在差异。</w:t>
      </w:r>
    </w:p>
    <w:p w14:paraId="292BDDC8">
      <w:pPr>
        <w:spacing w:line="580" w:lineRule="exact"/>
        <w:ind w:firstLine="640"/>
        <w:jc w:val="both"/>
      </w:pPr>
      <w:r>
        <w:rPr>
          <w:rFonts w:ascii="仿宋_GB2312" w:hAnsi="仿宋_GB2312" w:eastAsia="仿宋_GB2312"/>
          <w:b w:val="0"/>
          <w:sz w:val="32"/>
        </w:rPr>
        <w:t>政府性基金预算财政拨款支出5.00万元。</w:t>
      </w:r>
    </w:p>
    <w:p w14:paraId="68944CA8">
      <w:pPr>
        <w:spacing w:line="580" w:lineRule="exact"/>
        <w:ind w:firstLine="640"/>
        <w:jc w:val="both"/>
      </w:pPr>
      <w:r>
        <w:rPr>
          <w:rFonts w:ascii="仿宋_GB2312" w:hAnsi="仿宋_GB2312" w:eastAsia="仿宋_GB2312"/>
          <w:b w:val="0"/>
          <w:sz w:val="32"/>
        </w:rPr>
        <w:t>1.城乡社区支出(类)国有土地使用权出让收入安排的支出(款)征地和拆迁补偿支出(项):支出决算数为0.00万元，比上年决算减少270.00万元，下降100.00%,主要原因是：本年减少特克斯县言道文化产业园项目。</w:t>
      </w:r>
    </w:p>
    <w:p w14:paraId="40880152">
      <w:pPr>
        <w:spacing w:line="580" w:lineRule="exact"/>
        <w:ind w:firstLine="640"/>
        <w:jc w:val="both"/>
      </w:pPr>
      <w:r>
        <w:rPr>
          <w:rFonts w:ascii="仿宋_GB2312" w:hAnsi="仿宋_GB2312" w:eastAsia="仿宋_GB2312"/>
          <w:b w:val="0"/>
          <w:sz w:val="32"/>
        </w:rPr>
        <w:t>2.城乡社区支出(类)国有土地使用权出让收入安排的支出(款)农村基础设施建设支出(项):支出决算数为0.00万元，比上年决算减少13.72万元，下降100.00%,主要原因是：本年减少阔克苏村综合服务楼（文化活动中心及干部周转房）室外附属工程建设项目。</w:t>
      </w:r>
    </w:p>
    <w:p w14:paraId="696ECCB4">
      <w:pPr>
        <w:spacing w:line="580" w:lineRule="exact"/>
        <w:ind w:firstLine="640"/>
        <w:jc w:val="both"/>
      </w:pPr>
      <w:r>
        <w:rPr>
          <w:rFonts w:ascii="仿宋_GB2312" w:hAnsi="仿宋_GB2312" w:eastAsia="仿宋_GB2312"/>
          <w:b w:val="0"/>
          <w:sz w:val="32"/>
        </w:rPr>
        <w:t>3.城乡社区支出(类)国有土地使用权出让收入安排的支出(款)农村社会事业支出(项):支出决算数为0.00万元，比上年决算减少57.28万元，下降100.00%,主要原因是：本年减少阔科克苏村综合服务楼（文化活动中心及干部周转房）、室外附属工程建设项目。</w:t>
      </w:r>
    </w:p>
    <w:p w14:paraId="5CD60606">
      <w:pPr>
        <w:spacing w:line="580" w:lineRule="exact"/>
        <w:ind w:firstLine="640"/>
        <w:jc w:val="both"/>
      </w:pPr>
      <w:r>
        <w:rPr>
          <w:rFonts w:ascii="仿宋_GB2312" w:hAnsi="仿宋_GB2312" w:eastAsia="仿宋_GB2312"/>
          <w:b w:val="0"/>
          <w:sz w:val="32"/>
        </w:rPr>
        <w:t>4.城乡社区支出(类)国有土地使用权出让收入安排的支出(款)农业农村生态环境支出(项):支出决算数为5.00万元，比上年决算增加5.00万元，增长100.00%,主要原因是：</w:t>
      </w:r>
      <w:r>
        <w:rPr>
          <w:rFonts w:hint="eastAsia" w:ascii="仿宋_GB2312" w:hAnsi="仿宋_GB2312" w:eastAsia="仿宋_GB2312"/>
          <w:b w:val="0"/>
          <w:sz w:val="32"/>
          <w:lang w:val="en-US" w:eastAsia="zh-CN"/>
        </w:rPr>
        <w:t>本年增加</w:t>
      </w:r>
      <w:r>
        <w:rPr>
          <w:rFonts w:ascii="仿宋_GB2312" w:hAnsi="仿宋_GB2312" w:eastAsia="仿宋_GB2312"/>
          <w:b w:val="0"/>
          <w:sz w:val="32"/>
        </w:rPr>
        <w:t>特克斯县科克苏镇道路疏通、清理淤泥项目。</w:t>
      </w:r>
    </w:p>
    <w:p w14:paraId="0F2DD38D">
      <w:pPr>
        <w:spacing w:line="640" w:lineRule="exact"/>
        <w:ind w:firstLine="640"/>
        <w:jc w:val="both"/>
        <w:outlineLvl w:val="2"/>
      </w:pPr>
      <w:r>
        <w:rPr>
          <w:rFonts w:ascii="黑体" w:hAnsi="黑体" w:eastAsia="黑体"/>
          <w:sz w:val="32"/>
        </w:rPr>
        <w:t>八、国有资本经营预算财政拨款收入支出决算情况说明</w:t>
      </w:r>
    </w:p>
    <w:p w14:paraId="39E70E88">
      <w:pPr>
        <w:spacing w:line="580" w:lineRule="exact"/>
        <w:ind w:firstLine="640"/>
        <w:jc w:val="both"/>
      </w:pPr>
      <w:r>
        <w:rPr>
          <w:rFonts w:ascii="仿宋_GB2312" w:hAnsi="仿宋_GB2312" w:eastAsia="仿宋_GB2312"/>
          <w:b/>
          <w:sz w:val="32"/>
        </w:rPr>
        <w:t>2024年度国有资本经营预算财政拨款收入总计0.86万元，</w:t>
      </w:r>
      <w:r>
        <w:rPr>
          <w:rFonts w:ascii="仿宋_GB2312" w:hAnsi="仿宋_GB2312" w:eastAsia="仿宋_GB2312"/>
          <w:b w:val="0"/>
          <w:sz w:val="32"/>
        </w:rPr>
        <w:t>其中：年初结转和结余0.00万元，本年收入0.86万元。</w:t>
      </w:r>
      <w:r>
        <w:rPr>
          <w:rFonts w:ascii="仿宋_GB2312" w:hAnsi="仿宋_GB2312" w:eastAsia="仿宋_GB2312"/>
          <w:b/>
          <w:sz w:val="32"/>
        </w:rPr>
        <w:t>国有资本经营预算财政拨款支出总计0.86万元，</w:t>
      </w:r>
      <w:r>
        <w:rPr>
          <w:rFonts w:ascii="仿宋_GB2312" w:hAnsi="仿宋_GB2312" w:eastAsia="仿宋_GB2312"/>
          <w:b w:val="0"/>
          <w:sz w:val="32"/>
        </w:rPr>
        <w:t>其中：年末结转和结余0.00万元，本年支出0.86万元。</w:t>
      </w:r>
    </w:p>
    <w:p w14:paraId="4394644A">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增加0.86万元，增长100.00%，主要原因是：</w:t>
      </w:r>
      <w:r>
        <w:rPr>
          <w:rFonts w:hint="eastAsia" w:ascii="仿宋_GB2312" w:hAnsi="仿宋_GB2312" w:eastAsia="仿宋_GB2312"/>
          <w:b w:val="0"/>
          <w:sz w:val="32"/>
          <w:lang w:val="en-US" w:eastAsia="zh-CN"/>
        </w:rPr>
        <w:t>本年</w:t>
      </w:r>
      <w:r>
        <w:rPr>
          <w:rFonts w:ascii="仿宋_GB2312" w:hAnsi="仿宋_GB2312" w:eastAsia="仿宋_GB2312"/>
          <w:b w:val="0"/>
          <w:sz w:val="32"/>
        </w:rPr>
        <w:t>增加国有企业退休人员社会化管理补助资金项目。</w:t>
      </w:r>
      <w:r>
        <w:rPr>
          <w:rFonts w:ascii="仿宋_GB2312" w:hAnsi="仿宋_GB2312" w:eastAsia="仿宋_GB2312"/>
          <w:b/>
          <w:sz w:val="32"/>
        </w:rPr>
        <w:t>与年初预算相比，</w:t>
      </w:r>
      <w:r>
        <w:rPr>
          <w:rFonts w:ascii="仿宋_GB2312" w:hAnsi="仿宋_GB2312" w:eastAsia="仿宋_GB2312"/>
          <w:b w:val="0"/>
          <w:sz w:val="32"/>
        </w:rPr>
        <w:t>年初预算数1.00万元，决算数0.86万元，预决算差异率-14.00%，主要原因是：年中调减国有企业退休人员社会化管理补助资金</w:t>
      </w:r>
      <w:r>
        <w:rPr>
          <w:rFonts w:hint="eastAsia" w:ascii="仿宋_GB2312" w:hAnsi="仿宋_GB2312" w:eastAsia="仿宋_GB2312"/>
          <w:b w:val="0"/>
          <w:sz w:val="32"/>
          <w:lang w:eastAsia="zh-CN"/>
        </w:rPr>
        <w:t>，</w:t>
      </w:r>
      <w:r>
        <w:rPr>
          <w:rFonts w:hint="eastAsia" w:ascii="仿宋_GB2312" w:hAnsi="仿宋_GB2312" w:eastAsia="仿宋_GB2312"/>
          <w:b w:val="0"/>
          <w:sz w:val="32"/>
          <w:lang w:val="en-US" w:eastAsia="zh-CN"/>
        </w:rPr>
        <w:t>导致预决算存在差异</w:t>
      </w:r>
      <w:r>
        <w:rPr>
          <w:rFonts w:ascii="仿宋_GB2312" w:hAnsi="仿宋_GB2312" w:eastAsia="仿宋_GB2312"/>
          <w:b w:val="0"/>
          <w:sz w:val="32"/>
        </w:rPr>
        <w:t>。</w:t>
      </w:r>
    </w:p>
    <w:p w14:paraId="08C108AC">
      <w:pPr>
        <w:spacing w:line="580" w:lineRule="exact"/>
        <w:ind w:firstLine="640"/>
        <w:jc w:val="both"/>
      </w:pPr>
      <w:r>
        <w:rPr>
          <w:rFonts w:ascii="仿宋_GB2312" w:hAnsi="仿宋_GB2312" w:eastAsia="仿宋_GB2312"/>
          <w:sz w:val="32"/>
        </w:rPr>
        <w:t>国有资本经营预算财政拨款支出0.86万元。</w:t>
      </w:r>
    </w:p>
    <w:p w14:paraId="708F09B0">
      <w:pPr>
        <w:spacing w:line="580" w:lineRule="exact"/>
        <w:ind w:firstLine="640"/>
        <w:jc w:val="both"/>
        <w:rPr>
          <w:spacing w:val="-6"/>
          <w:sz w:val="32"/>
        </w:rPr>
      </w:pPr>
      <w:r>
        <w:rPr>
          <w:rFonts w:ascii="仿宋_GB2312" w:hAnsi="仿宋_GB2312" w:eastAsia="仿宋_GB2312"/>
          <w:b w:val="0"/>
          <w:sz w:val="32"/>
        </w:rPr>
        <w:t>1.国有资本经营预算支出(类)解决历史遗留问题及改革成本支出(款)国有企业退休人员社会化管理补助支出(项):支出决算数为0.86万元，比上年决算增加0.86万元，增长100.00%,</w:t>
      </w:r>
      <w:r>
        <w:rPr>
          <w:rFonts w:ascii="仿宋_GB2312" w:hAnsi="仿宋_GB2312" w:eastAsia="仿宋_GB2312"/>
          <w:b w:val="0"/>
          <w:spacing w:val="-6"/>
          <w:sz w:val="32"/>
        </w:rPr>
        <w:t>主要原因是：本年增加国有企业退休人员社会化管理补助资金项目。</w:t>
      </w:r>
    </w:p>
    <w:p w14:paraId="1A9A4C5A">
      <w:pPr>
        <w:spacing w:line="640" w:lineRule="exact"/>
        <w:ind w:firstLine="640"/>
        <w:jc w:val="both"/>
        <w:outlineLvl w:val="2"/>
      </w:pPr>
      <w:r>
        <w:rPr>
          <w:rFonts w:ascii="黑体" w:hAnsi="黑体" w:eastAsia="黑体"/>
          <w:sz w:val="32"/>
        </w:rPr>
        <w:t>九、财政拨款“三公”经费支出决算情况说明</w:t>
      </w:r>
    </w:p>
    <w:p w14:paraId="297B21E2">
      <w:pPr>
        <w:spacing w:line="580" w:lineRule="exact"/>
        <w:ind w:firstLine="640"/>
        <w:jc w:val="both"/>
      </w:pPr>
      <w:r>
        <w:rPr>
          <w:rFonts w:ascii="仿宋_GB2312" w:hAnsi="仿宋_GB2312" w:eastAsia="仿宋_GB2312"/>
          <w:b/>
          <w:sz w:val="32"/>
        </w:rPr>
        <w:t>2024年度财政拨款“三公”经费支出3.79万元，</w:t>
      </w:r>
      <w:r>
        <w:rPr>
          <w:rFonts w:ascii="仿宋_GB2312" w:hAnsi="仿宋_GB2312" w:eastAsia="仿宋_GB2312"/>
          <w:b w:val="0"/>
          <w:sz w:val="32"/>
        </w:rPr>
        <w:t>比上年增加0.69万元，增长22.26%，主要原因是：本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日渐老化，维修维护成本增加，导致公务用车运行维护费较上年增加。其中：因公出国（境）费支出0.00万元，占0.00%，比上年增加0.00万元，增长0.00%，主要原因是：2023年与2024年均未安排因公出国（境）费支出。公务用车购置及运行维护费支出3.79万元，占100.00%，比上年增加0.69万元，增长22.26%，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公务用车日渐老化，维修维护成本增加，导致公务用车运行维护费较上年增加。公务接待费支出0.00万元，占0.00%，比上年增加0.00万元，增长0.00%，主要原因是：2023年与2024年均未安排公务接待费支出。</w:t>
      </w:r>
    </w:p>
    <w:p w14:paraId="5DED5B25">
      <w:pPr>
        <w:spacing w:line="580" w:lineRule="exact"/>
        <w:ind w:firstLine="640"/>
        <w:jc w:val="both"/>
      </w:pPr>
      <w:r>
        <w:rPr>
          <w:rFonts w:ascii="仿宋_GB2312" w:hAnsi="仿宋_GB2312" w:eastAsia="仿宋_GB2312"/>
          <w:b/>
          <w:sz w:val="32"/>
        </w:rPr>
        <w:t>具体情况如下：</w:t>
      </w:r>
    </w:p>
    <w:p w14:paraId="75D2E1D3">
      <w:pPr>
        <w:spacing w:line="580" w:lineRule="exact"/>
        <w:ind w:firstLine="640"/>
        <w:jc w:val="both"/>
      </w:pPr>
      <w:r>
        <w:rPr>
          <w:rFonts w:ascii="仿宋_GB2312" w:hAnsi="仿宋_GB2312" w:eastAsia="仿宋_GB2312"/>
          <w:b w:val="0"/>
          <w:sz w:val="32"/>
        </w:rPr>
        <w:t>因公出国（境）费支出0.00万元，开支内容包括本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全年安排的因公出国（境）团组0个，因公出国（境）0人次。</w:t>
      </w:r>
    </w:p>
    <w:p w14:paraId="78DB68F6">
      <w:pPr>
        <w:spacing w:line="580" w:lineRule="exact"/>
        <w:ind w:firstLine="640"/>
        <w:jc w:val="both"/>
      </w:pPr>
      <w:r>
        <w:rPr>
          <w:rFonts w:ascii="仿宋_GB2312" w:hAnsi="仿宋_GB2312" w:eastAsia="仿宋_GB2312"/>
          <w:b w:val="0"/>
          <w:sz w:val="32"/>
        </w:rPr>
        <w:t>公务用车购置及运行维护费3.79万元，其中：公务用车购置费0.00万元，公务用车运行维护费3.79万元。公务用车运行维护费开支内容包括车辆加油费、维修费、保险费。公务用车购置数0辆，公务用车保有量5辆。国有资产占用情况中固定资产车辆5辆，与公务用车保有量差异原因是：本</w:t>
      </w:r>
      <w:r>
        <w:rPr>
          <w:rFonts w:hint="eastAsia" w:ascii="仿宋_GB2312" w:hAnsi="仿宋_GB2312" w:eastAsia="仿宋_GB2312"/>
          <w:b w:val="0"/>
          <w:sz w:val="32"/>
          <w:lang w:eastAsia="zh-CN"/>
        </w:rPr>
        <w:t>单位</w:t>
      </w:r>
      <w:r>
        <w:rPr>
          <w:rFonts w:ascii="仿宋_GB2312" w:hAnsi="仿宋_GB2312" w:eastAsia="仿宋_GB2312"/>
          <w:b w:val="0"/>
          <w:sz w:val="32"/>
        </w:rPr>
        <w:t>固定资产车辆与公务用车保有量一致无差异。</w:t>
      </w:r>
    </w:p>
    <w:p w14:paraId="7D0CBF30">
      <w:pPr>
        <w:spacing w:line="580" w:lineRule="exact"/>
        <w:ind w:firstLine="640"/>
        <w:jc w:val="both"/>
      </w:pPr>
      <w:r>
        <w:rPr>
          <w:rFonts w:ascii="仿宋_GB2312" w:hAnsi="仿宋_GB2312" w:eastAsia="仿宋_GB2312"/>
          <w:b w:val="0"/>
          <w:sz w:val="32"/>
        </w:rPr>
        <w:t>公务接待费0.00万元，开支内容包括本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r>
        <w:rPr>
          <w:rFonts w:hint="eastAsia" w:ascii="仿宋_GB2312" w:hAnsi="仿宋_GB2312" w:eastAsia="仿宋_GB2312"/>
          <w:b w:val="0"/>
          <w:sz w:val="32"/>
          <w:lang w:eastAsia="zh-CN"/>
        </w:rPr>
        <w:t>单位</w:t>
      </w:r>
      <w:r>
        <w:rPr>
          <w:rFonts w:ascii="仿宋_GB2312" w:hAnsi="仿宋_GB2312" w:eastAsia="仿宋_GB2312"/>
          <w:b w:val="0"/>
          <w:sz w:val="32"/>
        </w:rPr>
        <w:t>全年安排的国内公务接待0批次，0人次。</w:t>
      </w:r>
    </w:p>
    <w:p w14:paraId="073CF5D7">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3.80万元，决算数3.79万元，预决算差异率-0.26%，主要原因是：严格落实中央八项规定精神，厉行节约，减少经费支出。其中：因公出国（境）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无因公出国（境）费。公务用车购置费全年预算数0.00万元，决算数0.00万元，预决算差异率0.00%，主要原因是：本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用车购置费。公务用车运行维护费全年预算数3.80万元，决算数3.79万元，预决算差异率-0.26%，主要原因是：严格落实中央八项规定精神，厉行节约，减少经费支出。公务接待费全年预算数0.00万元，决算数0.00万元，预决算差异率0.00%，主要原因是：本</w:t>
      </w:r>
      <w:r>
        <w:rPr>
          <w:rFonts w:hint="eastAsia" w:ascii="仿宋_GB2312" w:hAnsi="仿宋_GB2312" w:eastAsia="仿宋_GB2312"/>
          <w:b w:val="0"/>
          <w:sz w:val="32"/>
          <w:lang w:eastAsia="zh-CN"/>
        </w:rPr>
        <w:t>单位</w:t>
      </w:r>
      <w:r>
        <w:rPr>
          <w:rFonts w:ascii="仿宋_GB2312" w:hAnsi="仿宋_GB2312" w:eastAsia="仿宋_GB2312"/>
          <w:b w:val="0"/>
          <w:sz w:val="32"/>
        </w:rPr>
        <w:t>无公务接待费。</w:t>
      </w:r>
    </w:p>
    <w:p w14:paraId="0D01E694">
      <w:pPr>
        <w:spacing w:line="640" w:lineRule="exact"/>
        <w:ind w:firstLine="640"/>
        <w:jc w:val="both"/>
        <w:outlineLvl w:val="2"/>
      </w:pPr>
      <w:r>
        <w:rPr>
          <w:rFonts w:ascii="黑体" w:hAnsi="黑体" w:eastAsia="黑体"/>
          <w:sz w:val="32"/>
        </w:rPr>
        <w:t>十、其他重要事项的情况说明</w:t>
      </w:r>
    </w:p>
    <w:p w14:paraId="0124A399">
      <w:pPr>
        <w:spacing w:line="640" w:lineRule="exact"/>
        <w:ind w:firstLine="640"/>
        <w:jc w:val="both"/>
        <w:outlineLvl w:val="3"/>
      </w:pPr>
      <w:r>
        <w:rPr>
          <w:rFonts w:ascii="楷体_GB2312" w:hAnsi="楷体_GB2312" w:eastAsia="楷体_GB2312"/>
          <w:b/>
          <w:sz w:val="32"/>
        </w:rPr>
        <w:t>（一）机关运行经费及公用经费支出情况</w:t>
      </w:r>
    </w:p>
    <w:p w14:paraId="68D79771">
      <w:pPr>
        <w:spacing w:line="580" w:lineRule="exact"/>
        <w:ind w:firstLine="640"/>
        <w:jc w:val="both"/>
      </w:pPr>
      <w:r>
        <w:rPr>
          <w:rFonts w:ascii="仿宋_GB2312" w:hAnsi="仿宋_GB2312" w:eastAsia="仿宋_GB2312"/>
          <w:b w:val="0"/>
          <w:sz w:val="32"/>
        </w:rPr>
        <w:t>2024年度特克斯县阔克苏乡人民政府（行政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和参照公务员法管理事业</w:t>
      </w:r>
      <w:r>
        <w:rPr>
          <w:rFonts w:hint="eastAsia" w:ascii="仿宋_GB2312" w:hAnsi="仿宋_GB2312" w:eastAsia="仿宋_GB2312"/>
          <w:b w:val="0"/>
          <w:sz w:val="32"/>
          <w:lang w:eastAsia="zh-CN"/>
        </w:rPr>
        <w:t>单位</w:t>
      </w:r>
      <w:r>
        <w:rPr>
          <w:rFonts w:ascii="仿宋_GB2312" w:hAnsi="仿宋_GB2312" w:eastAsia="仿宋_GB2312"/>
          <w:b w:val="0"/>
          <w:sz w:val="32"/>
        </w:rPr>
        <w:t>）机关运行经费支出200.32万元，比上年减少72.39万元，下降26.54%，主要原因是：严控经费支出，厉行节约，减少办公费、其他商品和服务支出。</w:t>
      </w:r>
    </w:p>
    <w:p w14:paraId="7848960C">
      <w:pPr>
        <w:spacing w:line="640" w:lineRule="exact"/>
        <w:ind w:firstLine="640"/>
        <w:jc w:val="both"/>
        <w:outlineLvl w:val="3"/>
      </w:pPr>
      <w:r>
        <w:rPr>
          <w:rFonts w:ascii="楷体_GB2312" w:hAnsi="楷体_GB2312" w:eastAsia="楷体_GB2312"/>
          <w:b/>
          <w:sz w:val="32"/>
        </w:rPr>
        <w:t>（二）政府采购情况</w:t>
      </w:r>
    </w:p>
    <w:p w14:paraId="1AC4F7D3">
      <w:pPr>
        <w:spacing w:line="580" w:lineRule="exact"/>
        <w:ind w:firstLine="640"/>
        <w:jc w:val="both"/>
      </w:pPr>
      <w:r>
        <w:rPr>
          <w:rFonts w:ascii="仿宋_GB2312" w:hAnsi="仿宋_GB2312" w:eastAsia="仿宋_GB2312"/>
          <w:b w:val="0"/>
          <w:sz w:val="32"/>
        </w:rPr>
        <w:t>2024年度政府采购支出总额2.13万元，其中：政府采购货物支出2.13万元、政府采购工程支出0.00万元、政府采购服务支出0.00万元。</w:t>
      </w:r>
    </w:p>
    <w:p w14:paraId="305CE4F7">
      <w:pPr>
        <w:spacing w:line="580" w:lineRule="exact"/>
        <w:ind w:firstLine="640"/>
        <w:jc w:val="both"/>
      </w:pPr>
      <w:r>
        <w:rPr>
          <w:rFonts w:ascii="仿宋_GB2312" w:hAnsi="仿宋_GB2312" w:eastAsia="仿宋_GB2312"/>
          <w:b w:val="0"/>
          <w:sz w:val="32"/>
        </w:rPr>
        <w:t>授予中小企业合同金额2.13万元，占政府采购支出总额的100.00%，其中：授予小微企业合同金额1.82万元，占政府采购支出总额的85.45%。</w:t>
      </w:r>
    </w:p>
    <w:p w14:paraId="3EB74B11">
      <w:pPr>
        <w:spacing w:line="640" w:lineRule="exact"/>
        <w:ind w:firstLine="640"/>
        <w:jc w:val="both"/>
        <w:outlineLvl w:val="3"/>
      </w:pPr>
      <w:r>
        <w:rPr>
          <w:rFonts w:ascii="楷体_GB2312" w:hAnsi="楷体_GB2312" w:eastAsia="楷体_GB2312"/>
          <w:b/>
          <w:sz w:val="32"/>
        </w:rPr>
        <w:t>（三）国有资产占用情况说明</w:t>
      </w:r>
    </w:p>
    <w:p w14:paraId="1FFBD991">
      <w:pPr>
        <w:spacing w:line="580" w:lineRule="exact"/>
        <w:ind w:firstLine="640"/>
        <w:jc w:val="both"/>
      </w:pPr>
      <w:r>
        <w:rPr>
          <w:rFonts w:ascii="仿宋_GB2312" w:hAnsi="仿宋_GB2312" w:eastAsia="仿宋_GB2312"/>
          <w:b w:val="0"/>
          <w:sz w:val="32"/>
        </w:rPr>
        <w:t>截至2024年12月31日，房屋1,269.80平方米，价值210.78万元。车辆5辆，价值56.30万元，其中：副部（省）级及以上领导用车0辆、主要负责人用车0辆、机要通信用车0辆、应急保障用车0辆、执法执勤用车0辆、特种专业技术用车1辆、离退休干部服务用车0辆、其他用车4辆，其他用车主要是：一般公务用车。单价100万元（含）以上设备（不含车辆）0台（套）。</w:t>
      </w:r>
    </w:p>
    <w:p w14:paraId="03A0CA69">
      <w:pPr>
        <w:spacing w:line="640" w:lineRule="exact"/>
        <w:ind w:firstLine="640"/>
        <w:jc w:val="both"/>
        <w:outlineLvl w:val="2"/>
      </w:pPr>
      <w:r>
        <w:rPr>
          <w:rFonts w:ascii="黑体" w:hAnsi="黑体" w:eastAsia="黑体"/>
          <w:sz w:val="32"/>
        </w:rPr>
        <w:t>十一、预算绩效的情况说明</w:t>
      </w:r>
    </w:p>
    <w:p w14:paraId="78FE5320">
      <w:pPr>
        <w:spacing w:line="580" w:lineRule="exact"/>
        <w:ind w:firstLine="640"/>
        <w:jc w:val="both"/>
      </w:pPr>
      <w:r>
        <w:rPr>
          <w:rFonts w:ascii="仿宋_GB2312" w:hAnsi="仿宋_GB2312" w:eastAsia="仿宋_GB2312"/>
          <w:b w:val="0"/>
          <w:sz w:val="32"/>
        </w:rPr>
        <w:t>根据预算绩效管理要求，本</w:t>
      </w:r>
      <w:r>
        <w:rPr>
          <w:rFonts w:hint="eastAsia" w:ascii="仿宋_GB2312" w:hAnsi="仿宋_GB2312" w:eastAsia="仿宋_GB2312"/>
          <w:b w:val="0"/>
          <w:sz w:val="32"/>
          <w:lang w:eastAsia="zh-CN"/>
        </w:rPr>
        <w:t>单位</w:t>
      </w:r>
      <w:r>
        <w:rPr>
          <w:rFonts w:ascii="仿宋_GB2312" w:hAnsi="仿宋_GB2312" w:eastAsia="仿宋_GB2312"/>
          <w:b w:val="0"/>
          <w:sz w:val="32"/>
        </w:rPr>
        <w:t>2024年度预算绩效管理形成整体支出绩效自评表1个，全年预算总额2,533.85万元，实际执行总额2,533.85万元；预算绩效评价项目3个，全年预算数471.20万元，全年执行数416.56万元。预算绩效管理取得的成效：一是优化资源配置，通过对项目进行事前绩效评估，使有限的财政资金投向最需要的</w:t>
      </w:r>
      <w:r>
        <w:rPr>
          <w:rFonts w:hint="eastAsia" w:ascii="仿宋_GB2312" w:hAnsi="仿宋_GB2312" w:eastAsia="仿宋_GB2312"/>
          <w:b w:val="0"/>
          <w:sz w:val="32"/>
          <w:lang w:eastAsia="zh-CN"/>
        </w:rPr>
        <w:t>领域</w:t>
      </w:r>
      <w:r>
        <w:rPr>
          <w:rFonts w:ascii="仿宋_GB2312" w:hAnsi="仿宋_GB2312" w:eastAsia="仿宋_GB2312"/>
          <w:b w:val="0"/>
          <w:sz w:val="32"/>
        </w:rPr>
        <w:t>；二是加强成本控制，使项目在实施过程中注重节约成本，提高资金使用效率。发现的问题及原因：绩效目标设定不合理，部分绩效目标过于笼统、模糊，缺乏具体的量化指标。原因：人员素质不高，缺乏专业的绩效管理人员，现有的人员培训和学习机会较少。下一步改进措施：</w:t>
      </w:r>
      <w:r>
        <w:rPr>
          <w:rFonts w:hint="default" w:ascii="仿宋_GB2312" w:hAnsi="Times New Roman" w:eastAsia="仿宋_GB2312" w:cs="Times New Roman"/>
          <w:color w:val="auto"/>
          <w:spacing w:val="0"/>
          <w:kern w:val="2"/>
          <w:sz w:val="32"/>
          <w:szCs w:val="32"/>
          <w:highlight w:val="none"/>
          <w:lang w:val="en-US" w:eastAsia="zh-CN" w:bidi="ar-SA"/>
        </w:rPr>
        <w:t>一是加强学习，进一步明确如何参照考核体系，科学合理设定绩效目标，充分发挥预算绩效管理工作效用。二是财务上会计核算要更加详细，为本</w:t>
      </w:r>
      <w:r>
        <w:rPr>
          <w:rFonts w:hint="eastAsia" w:ascii="仿宋_GB2312" w:eastAsia="仿宋_GB2312" w:cs="Times New Roman"/>
          <w:color w:val="auto"/>
          <w:spacing w:val="0"/>
          <w:kern w:val="2"/>
          <w:sz w:val="32"/>
          <w:szCs w:val="32"/>
          <w:highlight w:val="none"/>
          <w:lang w:val="en-US" w:eastAsia="zh-CN" w:bidi="ar-SA"/>
        </w:rPr>
        <w:t>单位</w:t>
      </w:r>
      <w:r>
        <w:rPr>
          <w:rFonts w:hint="default" w:ascii="仿宋_GB2312" w:hAnsi="Times New Roman" w:eastAsia="仿宋_GB2312" w:cs="Times New Roman"/>
          <w:color w:val="auto"/>
          <w:spacing w:val="0"/>
          <w:kern w:val="2"/>
          <w:sz w:val="32"/>
          <w:szCs w:val="32"/>
          <w:highlight w:val="none"/>
          <w:lang w:val="en-US" w:eastAsia="zh-CN" w:bidi="ar-SA"/>
        </w:rPr>
        <w:t>各项工作的开展、总结、评估提供有效数据资料支撑,为各项业务工作更好的开展提供帮助。三是从源头上强化对专项资金预算管理，实行专项资金预算管理，结合</w:t>
      </w:r>
      <w:r>
        <w:rPr>
          <w:rFonts w:hint="eastAsia" w:ascii="仿宋_GB2312" w:eastAsia="仿宋_GB2312" w:cs="Times New Roman"/>
          <w:color w:val="auto"/>
          <w:spacing w:val="0"/>
          <w:kern w:val="2"/>
          <w:sz w:val="32"/>
          <w:szCs w:val="32"/>
          <w:highlight w:val="none"/>
          <w:lang w:val="en-US" w:eastAsia="zh-CN" w:bidi="ar-SA"/>
        </w:rPr>
        <w:t>单位</w:t>
      </w:r>
      <w:r>
        <w:rPr>
          <w:rFonts w:hint="default" w:ascii="仿宋_GB2312" w:hAnsi="Times New Roman" w:eastAsia="仿宋_GB2312" w:cs="Times New Roman"/>
          <w:color w:val="auto"/>
          <w:spacing w:val="0"/>
          <w:kern w:val="2"/>
          <w:sz w:val="32"/>
          <w:szCs w:val="32"/>
          <w:highlight w:val="none"/>
          <w:lang w:val="en-US" w:eastAsia="zh-CN" w:bidi="ar-SA"/>
        </w:rPr>
        <w:t>实际,按轻重缓急统筹安排编制预算,提高预算编制科学性和合理性，优化资金结构</w:t>
      </w:r>
      <w:r>
        <w:rPr>
          <w:rFonts w:ascii="仿宋_GB2312" w:hAnsi="仿宋_GB2312" w:eastAsia="仿宋_GB2312"/>
          <w:b w:val="0"/>
          <w:sz w:val="32"/>
        </w:rPr>
        <w:t>。具体附整体支出绩效自评表，项目支出绩效自评表和评价报告。</w:t>
      </w:r>
    </w:p>
    <w:p w14:paraId="0977373D">
      <w:r>
        <w:br w:type="page"/>
      </w:r>
    </w:p>
    <w:tbl>
      <w:tblPr>
        <w:tblStyle w:val="9"/>
        <w:tblW w:w="0" w:type="auto"/>
        <w:tblInd w:w="0" w:type="dxa"/>
        <w:tblLayout w:type="autofit"/>
        <w:tblCellMar>
          <w:top w:w="0" w:type="dxa"/>
          <w:left w:w="108" w:type="dxa"/>
          <w:bottom w:w="0" w:type="dxa"/>
          <w:right w:w="108" w:type="dxa"/>
        </w:tblCellMar>
      </w:tblPr>
      <w:tblGrid>
        <w:gridCol w:w="1105"/>
        <w:gridCol w:w="1105"/>
        <w:gridCol w:w="1105"/>
        <w:gridCol w:w="1105"/>
        <w:gridCol w:w="1105"/>
        <w:gridCol w:w="1105"/>
        <w:gridCol w:w="1105"/>
        <w:gridCol w:w="1105"/>
      </w:tblGrid>
      <w:tr w14:paraId="74CF576C">
        <w:tblPrEx>
          <w:tblCellMar>
            <w:top w:w="0" w:type="dxa"/>
            <w:left w:w="108" w:type="dxa"/>
            <w:bottom w:w="0" w:type="dxa"/>
            <w:right w:w="108" w:type="dxa"/>
          </w:tblCellMar>
        </w:tblPrEx>
        <w:tc>
          <w:tcPr>
            <w:tcW w:w="8840" w:type="dxa"/>
            <w:gridSpan w:val="8"/>
            <w:vAlign w:val="center"/>
          </w:tcPr>
          <w:p w14:paraId="6120EFB0">
            <w:pPr>
              <w:jc w:val="center"/>
            </w:pPr>
            <w:r>
              <w:rPr>
                <w:rFonts w:hint="eastAsia" w:ascii="宋体" w:hAnsi="宋体"/>
                <w:sz w:val="24"/>
                <w:lang w:eastAsia="zh-CN"/>
              </w:rPr>
              <w:t>单位</w:t>
            </w:r>
            <w:r>
              <w:rPr>
                <w:rFonts w:ascii="宋体" w:hAnsi="宋体" w:eastAsia="宋体"/>
                <w:sz w:val="24"/>
              </w:rPr>
              <w:t>整体支出绩效自评表</w:t>
            </w:r>
          </w:p>
        </w:tc>
      </w:tr>
      <w:tr w14:paraId="0D1A9A94">
        <w:tblPrEx>
          <w:tblCellMar>
            <w:top w:w="0" w:type="dxa"/>
            <w:left w:w="108" w:type="dxa"/>
            <w:bottom w:w="0" w:type="dxa"/>
            <w:right w:w="108" w:type="dxa"/>
          </w:tblCellMar>
        </w:tblPrEx>
        <w:tc>
          <w:tcPr>
            <w:tcW w:w="8840" w:type="dxa"/>
            <w:gridSpan w:val="8"/>
            <w:vAlign w:val="center"/>
          </w:tcPr>
          <w:p w14:paraId="0B7CC1D5">
            <w:pPr>
              <w:jc w:val="center"/>
            </w:pPr>
            <w:r>
              <w:rPr>
                <w:rFonts w:ascii="宋体" w:hAnsi="宋体" w:eastAsia="宋体"/>
                <w:sz w:val="24"/>
              </w:rPr>
              <w:t>（2024年度）</w:t>
            </w:r>
          </w:p>
        </w:tc>
      </w:tr>
      <w:tr w14:paraId="0225B024">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D740B8">
            <w:pPr>
              <w:jc w:val="center"/>
            </w:pPr>
            <w:r>
              <w:rPr>
                <w:rFonts w:hint="eastAsia" w:ascii="宋体" w:hAnsi="宋体"/>
                <w:sz w:val="16"/>
                <w:lang w:eastAsia="zh-CN"/>
              </w:rPr>
              <w:t>单位</w:t>
            </w:r>
            <w:r>
              <w:rPr>
                <w:rFonts w:ascii="宋体" w:hAnsi="宋体" w:eastAsia="宋体"/>
                <w:sz w:val="16"/>
              </w:rPr>
              <w:t>名称</w:t>
            </w:r>
          </w:p>
        </w:tc>
        <w:tc>
          <w:tcPr>
            <w:tcW w:w="773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3C477B6">
            <w:pPr>
              <w:jc w:val="center"/>
            </w:pPr>
            <w:r>
              <w:rPr>
                <w:rFonts w:ascii="宋体" w:hAnsi="宋体" w:eastAsia="宋体"/>
                <w:sz w:val="16"/>
              </w:rPr>
              <w:t>特克斯县阔克苏乡人民政府</w:t>
            </w:r>
          </w:p>
        </w:tc>
      </w:tr>
      <w:tr w14:paraId="0BE4D755">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5E9F6DC">
            <w:pPr>
              <w:jc w:val="center"/>
            </w:pPr>
            <w:r>
              <w:rPr>
                <w:rFonts w:ascii="宋体" w:hAnsi="宋体" w:eastAsia="宋体"/>
                <w:sz w:val="16"/>
              </w:rPr>
              <w:t>部门资金（万元）</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3EA129">
            <w:pPr>
              <w:jc w:val="center"/>
            </w:pPr>
            <w:r>
              <w:rPr>
                <w:rFonts w:ascii="宋体" w:hAnsi="宋体" w:eastAsia="宋体"/>
                <w:sz w:val="16"/>
              </w:rPr>
              <w:t>资金来源</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AEB8BB">
            <w:pPr>
              <w:jc w:val="center"/>
            </w:pPr>
            <w:r>
              <w:rPr>
                <w:rFonts w:ascii="宋体" w:hAnsi="宋体" w:eastAsia="宋体"/>
                <w:sz w:val="16"/>
              </w:rPr>
              <w:t>年初预算数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AE3B296">
            <w:pPr>
              <w:jc w:val="center"/>
            </w:pPr>
            <w:r>
              <w:rPr>
                <w:rFonts w:ascii="宋体" w:hAnsi="宋体" w:eastAsia="宋体"/>
                <w:sz w:val="16"/>
              </w:rPr>
              <w:t>全年预算数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140A86">
            <w:pPr>
              <w:jc w:val="center"/>
            </w:pPr>
            <w:r>
              <w:rPr>
                <w:rFonts w:ascii="宋体" w:hAnsi="宋体" w:eastAsia="宋体"/>
                <w:sz w:val="16"/>
              </w:rPr>
              <w:t>全年执行数</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DCACF10">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E32152">
            <w:pPr>
              <w:jc w:val="center"/>
            </w:pPr>
            <w:r>
              <w:rPr>
                <w:rFonts w:ascii="宋体" w:hAnsi="宋体" w:eastAsia="宋体"/>
                <w:sz w:val="16"/>
              </w:rPr>
              <w:t>执行率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4A8C3A">
            <w:pPr>
              <w:jc w:val="center"/>
            </w:pPr>
            <w:r>
              <w:rPr>
                <w:rFonts w:ascii="宋体" w:hAnsi="宋体" w:eastAsia="宋体"/>
                <w:sz w:val="16"/>
              </w:rPr>
              <w:t>得分</w:t>
            </w:r>
          </w:p>
        </w:tc>
      </w:tr>
      <w:tr w14:paraId="5D68E2FD">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C32E97"/>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C078B57">
            <w:pPr>
              <w:jc w:val="center"/>
            </w:pPr>
            <w:r>
              <w:rPr>
                <w:rFonts w:ascii="宋体" w:hAnsi="宋体" w:eastAsia="宋体"/>
                <w:sz w:val="16"/>
              </w:rPr>
              <w:t>年度总资金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AE2C8F">
            <w:pPr>
              <w:jc w:val="center"/>
            </w:pPr>
            <w:r>
              <w:rPr>
                <w:rFonts w:ascii="宋体" w:hAnsi="宋体" w:eastAsia="宋体"/>
                <w:sz w:val="16"/>
              </w:rPr>
              <w:t>2,037.51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BC63CB8">
            <w:pPr>
              <w:jc w:val="center"/>
            </w:pPr>
            <w:r>
              <w:rPr>
                <w:rFonts w:ascii="宋体" w:hAnsi="宋体" w:eastAsia="宋体"/>
                <w:sz w:val="16"/>
              </w:rPr>
              <w:t>2,533.85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8547FE2">
            <w:pPr>
              <w:jc w:val="center"/>
            </w:pPr>
            <w:r>
              <w:rPr>
                <w:rFonts w:ascii="宋体" w:hAnsi="宋体" w:eastAsia="宋体"/>
                <w:sz w:val="16"/>
              </w:rPr>
              <w:t>2,533.85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33BBF2">
            <w:pPr>
              <w:jc w:val="center"/>
            </w:pPr>
            <w:r>
              <w:rPr>
                <w:rFonts w:ascii="宋体" w:hAnsi="宋体" w:eastAsia="宋体"/>
                <w:sz w:val="16"/>
              </w:rPr>
              <w:t>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5E24FE6">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80FCFA">
            <w:pPr>
              <w:jc w:val="center"/>
            </w:pPr>
            <w:r>
              <w:rPr>
                <w:rFonts w:ascii="宋体" w:hAnsi="宋体" w:eastAsia="宋体"/>
                <w:sz w:val="16"/>
              </w:rPr>
              <w:t>10</w:t>
            </w:r>
          </w:p>
        </w:tc>
      </w:tr>
      <w:tr w14:paraId="17A6B86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425A954"/>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1BA998">
            <w:pPr>
              <w:jc w:val="center"/>
            </w:pPr>
            <w:r>
              <w:rPr>
                <w:rFonts w:ascii="宋体" w:hAnsi="宋体" w:eastAsia="宋体"/>
                <w:sz w:val="16"/>
              </w:rPr>
              <w:t>上级资金：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277D92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36A2A80">
            <w:pPr>
              <w:jc w:val="center"/>
            </w:pPr>
            <w:r>
              <w:rPr>
                <w:rFonts w:ascii="宋体" w:hAnsi="宋体" w:eastAsia="宋体"/>
                <w:sz w:val="16"/>
              </w:rPr>
              <w:t>184.10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0CA9367">
            <w:pPr>
              <w:jc w:val="center"/>
            </w:pPr>
            <w:r>
              <w:rPr>
                <w:rFonts w:ascii="宋体" w:hAnsi="宋体" w:eastAsia="宋体"/>
                <w:sz w:val="16"/>
              </w:rPr>
              <w:t>184.10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67BB0B7">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095A15C">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CDBDFF">
            <w:pPr>
              <w:jc w:val="center"/>
            </w:pPr>
            <w:r>
              <w:rPr>
                <w:rFonts w:ascii="宋体" w:hAnsi="宋体" w:eastAsia="宋体"/>
                <w:sz w:val="16"/>
              </w:rPr>
              <w:t>-</w:t>
            </w:r>
          </w:p>
        </w:tc>
      </w:tr>
      <w:tr w14:paraId="3D4CB45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6B5A53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498E802">
            <w:pPr>
              <w:jc w:val="center"/>
            </w:pPr>
            <w:r>
              <w:rPr>
                <w:rFonts w:ascii="宋体" w:hAnsi="宋体" w:eastAsia="宋体"/>
                <w:sz w:val="16"/>
              </w:rPr>
              <w:t>本级资金：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BFFB089">
            <w:pPr>
              <w:jc w:val="center"/>
            </w:pPr>
            <w:r>
              <w:rPr>
                <w:rFonts w:ascii="宋体" w:hAnsi="宋体" w:eastAsia="宋体"/>
                <w:sz w:val="16"/>
              </w:rPr>
              <w:t>2,037.51</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A3B58A4">
            <w:pPr>
              <w:jc w:val="center"/>
            </w:pPr>
            <w:r>
              <w:rPr>
                <w:rFonts w:ascii="宋体" w:hAnsi="宋体" w:eastAsia="宋体"/>
                <w:sz w:val="16"/>
              </w:rPr>
              <w:t>2,349.75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39E644A">
            <w:pPr>
              <w:jc w:val="center"/>
            </w:pPr>
            <w:r>
              <w:rPr>
                <w:rFonts w:ascii="宋体" w:hAnsi="宋体" w:eastAsia="宋体"/>
                <w:sz w:val="16"/>
              </w:rPr>
              <w:t>2,349.75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396970">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B8CFD0F">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2BABC8B">
            <w:pPr>
              <w:jc w:val="center"/>
            </w:pPr>
            <w:r>
              <w:rPr>
                <w:rFonts w:ascii="宋体" w:hAnsi="宋体" w:eastAsia="宋体"/>
                <w:sz w:val="16"/>
              </w:rPr>
              <w:t>-</w:t>
            </w:r>
          </w:p>
        </w:tc>
      </w:tr>
      <w:tr w14:paraId="5BE7A33E">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2A8E2DEC"/>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F6577C6">
            <w:pPr>
              <w:jc w:val="center"/>
            </w:pPr>
            <w:r>
              <w:rPr>
                <w:rFonts w:ascii="宋体" w:hAnsi="宋体" w:eastAsia="宋体"/>
                <w:sz w:val="16"/>
              </w:rPr>
              <w:t>其他资金：</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9770144">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B963BCE">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9EE9100">
            <w:pPr>
              <w:jc w:val="center"/>
            </w:pPr>
            <w:r>
              <w:rPr>
                <w:rFonts w:ascii="宋体" w:hAnsi="宋体" w:eastAsia="宋体"/>
                <w:sz w:val="16"/>
              </w:rPr>
              <w:t>0.00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21D5D1">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EF2C569">
            <w:pPr>
              <w:jc w:val="center"/>
            </w:pPr>
            <w:r>
              <w:rPr>
                <w:rFonts w:ascii="宋体" w:hAnsi="宋体" w:eastAsia="宋体"/>
                <w:sz w:val="16"/>
              </w:rPr>
              <w:t>-</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30BFCE0">
            <w:pPr>
              <w:jc w:val="center"/>
            </w:pPr>
            <w:r>
              <w:rPr>
                <w:rFonts w:ascii="宋体" w:hAnsi="宋体" w:eastAsia="宋体"/>
                <w:sz w:val="16"/>
              </w:rPr>
              <w:t>-</w:t>
            </w:r>
          </w:p>
        </w:tc>
      </w:tr>
      <w:tr w14:paraId="3CA4820D">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AC77DFA">
            <w:pPr>
              <w:jc w:val="center"/>
            </w:pPr>
            <w:r>
              <w:rPr>
                <w:rFonts w:ascii="宋体" w:hAnsi="宋体" w:eastAsia="宋体"/>
                <w:sz w:val="16"/>
              </w:rPr>
              <w:t>年度总体目标</w:t>
            </w:r>
          </w:p>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54341C62">
            <w:pPr>
              <w:jc w:val="center"/>
            </w:pPr>
            <w:r>
              <w:rPr>
                <w:rFonts w:ascii="宋体" w:hAnsi="宋体" w:eastAsia="宋体"/>
                <w:sz w:val="16"/>
              </w:rPr>
              <w:t>预期目标</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0DC6080E">
            <w:pPr>
              <w:jc w:val="center"/>
            </w:pPr>
            <w:r>
              <w:rPr>
                <w:rFonts w:ascii="宋体" w:hAnsi="宋体" w:eastAsia="宋体"/>
                <w:sz w:val="16"/>
              </w:rPr>
              <w:t>实际完成情况</w:t>
            </w:r>
          </w:p>
        </w:tc>
      </w:tr>
      <w:tr w14:paraId="77CF0D62">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BB90B2"/>
        </w:tc>
        <w:tc>
          <w:tcPr>
            <w:tcW w:w="3315" w:type="dxa"/>
            <w:gridSpan w:val="3"/>
            <w:tcBorders>
              <w:top w:val="single" w:color="auto" w:sz="10" w:space="0"/>
              <w:left w:val="single" w:color="auto" w:sz="10" w:space="0"/>
              <w:bottom w:val="single" w:color="auto" w:sz="10" w:space="0"/>
              <w:right w:val="single" w:color="auto" w:sz="10" w:space="0"/>
              <w:insideV w:val="single" w:sz="10" w:space="0"/>
            </w:tcBorders>
            <w:vAlign w:val="center"/>
          </w:tcPr>
          <w:p w14:paraId="764E2573">
            <w:pPr>
              <w:jc w:val="both"/>
            </w:pPr>
            <w:r>
              <w:rPr>
                <w:rFonts w:ascii="宋体" w:hAnsi="宋体" w:eastAsia="宋体"/>
                <w:sz w:val="16"/>
              </w:rPr>
              <w:t>以习近平新时代中国特色社会主义思想为指导,全面贯彻落实党的二十大和二十届二中全会精神，贯彻落实中央经济工作会议、农村工作会议精神，贯彻落实习近平总书记关于新疆工作的重要讲话和重要指示批示精神，贯彻落实自治区党委十届十次全会、自治州党委工作会议、</w:t>
            </w:r>
            <w:r>
              <w:rPr>
                <w:rFonts w:hint="eastAsia" w:ascii="宋体" w:hAnsi="宋体"/>
                <w:sz w:val="16"/>
                <w:lang w:eastAsia="zh-CN"/>
              </w:rPr>
              <w:t>两会</w:t>
            </w:r>
            <w:r>
              <w:rPr>
                <w:rFonts w:ascii="宋体" w:hAnsi="宋体" w:eastAsia="宋体"/>
                <w:sz w:val="16"/>
              </w:rPr>
              <w:t>以及县委十三届七次全会精神，完整准确全面贯彻新发展理念和新时代党的治疆方略，聚焦高质量发展这一首要任务，坚持稳中求进、以进促稳、先立后破，更好统筹发展和安全、开放和稳定、发展和民生，围绕州党委“16661”重点举措和县委“抓实稳定这一基础、紧盯四个关键性工作、夯实六大发展支撑、实施六大民生工程、抓牢党建这一保证”工作部署，在镇党委的坚强带领下，锚定年度发展新目标，推动全镇经济实现质的有效提升和量的合理增长，持续增进人民福祉，夯实长治久安的坚实基础，坚持依法治镇、依法执政、依法行政共同推进，法治科克苏、法治政府、法治社会一体化建设，努力开创科克苏镇各项事业发展新局面。以继续谋划做好科克苏镇太极湾美丽乡村建设项目、科克苏镇喀拉峻花园民宿建设项目、科克苏镇半山文化旅游开发建设项目、科克苏镇喀拉峻社区沿途民宿集群建设项目、科克苏村民宿集群建设项目、科克苏镇鱼庄建设项目、科克苏镇喀拉峻一棵松驿站建设项目为基础，加快推进强村富民产业发展，发展乡村特色产业。</w:t>
            </w:r>
          </w:p>
        </w:tc>
        <w:tc>
          <w:tcPr>
            <w:tcW w:w="4420"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4C1CEA09">
            <w:pPr>
              <w:jc w:val="both"/>
            </w:pPr>
            <w:r>
              <w:rPr>
                <w:rFonts w:ascii="宋体" w:hAnsi="宋体" w:eastAsia="宋体"/>
                <w:sz w:val="16"/>
              </w:rPr>
              <w:t>一是完成玉米种植面积10170亩，二是全年完成劳动力转移1113人，三是完成人畜安全饮用水普及率100%，四是完成农村改厕普及率95%，五是完成居民基本医疗保险参保率97.03%。</w:t>
            </w:r>
          </w:p>
        </w:tc>
      </w:tr>
      <w:tr w14:paraId="5787731D">
        <w:tblPrEx>
          <w:tblCellMar>
            <w:top w:w="0" w:type="dxa"/>
            <w:left w:w="108" w:type="dxa"/>
            <w:bottom w:w="0" w:type="dxa"/>
            <w:right w:w="108" w:type="dxa"/>
          </w:tblCellMar>
        </w:tblPrEx>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10291C">
            <w:pPr>
              <w:jc w:val="center"/>
            </w:pPr>
            <w:r>
              <w:rPr>
                <w:rFonts w:ascii="宋体" w:hAnsi="宋体" w:eastAsia="宋体"/>
                <w:sz w:val="16"/>
              </w:rPr>
              <w:t>一级指标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456488C">
            <w:pPr>
              <w:jc w:val="center"/>
            </w:pPr>
            <w:r>
              <w:rPr>
                <w:rFonts w:ascii="宋体" w:hAnsi="宋体" w:eastAsia="宋体"/>
                <w:sz w:val="16"/>
              </w:rPr>
              <w:t>二级指标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EE424B">
            <w:pPr>
              <w:jc w:val="center"/>
            </w:pPr>
            <w:r>
              <w:rPr>
                <w:rFonts w:ascii="宋体" w:hAnsi="宋体" w:eastAsia="宋体"/>
                <w:sz w:val="16"/>
              </w:rPr>
              <w:t>三级指标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530003">
            <w:pPr>
              <w:jc w:val="center"/>
            </w:pPr>
            <w:r>
              <w:rPr>
                <w:rFonts w:ascii="宋体" w:hAnsi="宋体" w:eastAsia="宋体"/>
                <w:sz w:val="16"/>
              </w:rPr>
              <w:t>预期指标值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0641A50">
            <w:pPr>
              <w:jc w:val="center"/>
            </w:pPr>
            <w:r>
              <w:rPr>
                <w:rFonts w:ascii="宋体" w:hAnsi="宋体" w:eastAsia="宋体"/>
                <w:sz w:val="16"/>
              </w:rPr>
              <w:t>指标值设定依据</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81E003F">
            <w:pPr>
              <w:jc w:val="center"/>
            </w:pPr>
            <w:r>
              <w:rPr>
                <w:rFonts w:ascii="宋体" w:hAnsi="宋体" w:eastAsia="宋体"/>
                <w:sz w:val="16"/>
              </w:rPr>
              <w:t>分值权重</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13D4445">
            <w:pPr>
              <w:jc w:val="center"/>
            </w:pPr>
            <w:r>
              <w:rPr>
                <w:rFonts w:ascii="宋体" w:hAnsi="宋体" w:eastAsia="宋体"/>
                <w:sz w:val="16"/>
              </w:rPr>
              <w:t>实际完成指标值</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2CCCE4">
            <w:pPr>
              <w:jc w:val="center"/>
            </w:pPr>
            <w:r>
              <w:rPr>
                <w:rFonts w:ascii="宋体" w:hAnsi="宋体" w:eastAsia="宋体"/>
                <w:sz w:val="16"/>
              </w:rPr>
              <w:t>得分</w:t>
            </w:r>
          </w:p>
        </w:tc>
      </w:tr>
      <w:tr w14:paraId="38A6AC89">
        <w:tblPrEx>
          <w:tblCellMar>
            <w:top w:w="0" w:type="dxa"/>
            <w:left w:w="108" w:type="dxa"/>
            <w:bottom w:w="0" w:type="dxa"/>
            <w:right w:w="108" w:type="dxa"/>
          </w:tblCellMar>
        </w:tblPrEx>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33B22E">
            <w:pPr>
              <w:jc w:val="center"/>
            </w:pPr>
            <w:r>
              <w:rPr>
                <w:rFonts w:ascii="宋体" w:hAnsi="宋体" w:eastAsia="宋体"/>
                <w:sz w:val="16"/>
              </w:rPr>
              <w:t>履职效能</w:t>
            </w:r>
          </w:p>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6BB5828">
            <w:pPr>
              <w:jc w:val="center"/>
            </w:pPr>
            <w:r>
              <w:rPr>
                <w:rFonts w:ascii="宋体" w:hAnsi="宋体" w:eastAsia="宋体"/>
                <w:sz w:val="16"/>
              </w:rPr>
              <w:t>数量指标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5FF3550">
            <w:pPr>
              <w:jc w:val="center"/>
            </w:pPr>
            <w:r>
              <w:rPr>
                <w:rFonts w:ascii="宋体" w:hAnsi="宋体" w:eastAsia="宋体"/>
                <w:sz w:val="16"/>
              </w:rPr>
              <w:t>小麦种植面积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57FF43C">
            <w:pPr>
              <w:jc w:val="center"/>
            </w:pPr>
            <w:r>
              <w:rPr>
                <w:rFonts w:ascii="宋体" w:hAnsi="宋体" w:eastAsia="宋体"/>
                <w:sz w:val="16"/>
              </w:rPr>
              <w:t>&gt;=800亩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12CE331">
            <w:pPr>
              <w:jc w:val="center"/>
            </w:pPr>
            <w:r>
              <w:rPr>
                <w:rFonts w:ascii="宋体" w:hAnsi="宋体" w:eastAsia="宋体"/>
                <w:sz w:val="16"/>
              </w:rPr>
              <w:t>科克苏镇人民政府工作报告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D4B1647">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02C15F">
            <w:pPr>
              <w:jc w:val="center"/>
            </w:pPr>
            <w:r>
              <w:rPr>
                <w:rFonts w:ascii="宋体" w:hAnsi="宋体" w:eastAsia="宋体"/>
                <w:sz w:val="16"/>
              </w:rPr>
              <w:t>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344169">
            <w:pPr>
              <w:jc w:val="center"/>
            </w:pPr>
            <w:r>
              <w:rPr>
                <w:rFonts w:ascii="宋体" w:hAnsi="宋体" w:eastAsia="宋体"/>
                <w:sz w:val="16"/>
              </w:rPr>
              <w:t>0</w:t>
            </w:r>
          </w:p>
        </w:tc>
      </w:tr>
      <w:tr w14:paraId="3006C009">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B5320E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1A4E7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CEEB0A">
            <w:pPr>
              <w:jc w:val="center"/>
            </w:pPr>
            <w:r>
              <w:rPr>
                <w:rFonts w:ascii="宋体" w:hAnsi="宋体" w:eastAsia="宋体"/>
                <w:sz w:val="16"/>
              </w:rPr>
              <w:t>玉米种植面积</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C518C7D">
            <w:pPr>
              <w:jc w:val="center"/>
            </w:pPr>
            <w:r>
              <w:rPr>
                <w:rFonts w:ascii="宋体" w:hAnsi="宋体" w:eastAsia="宋体"/>
                <w:sz w:val="16"/>
              </w:rPr>
              <w:t>&gt;=9520亩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324BC6">
            <w:pPr>
              <w:jc w:val="center"/>
            </w:pPr>
            <w:r>
              <w:rPr>
                <w:rFonts w:ascii="宋体" w:hAnsi="宋体" w:eastAsia="宋体"/>
                <w:sz w:val="16"/>
              </w:rPr>
              <w:t>科克苏镇人民政府工作报告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124E914">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99CAC47">
            <w:pPr>
              <w:jc w:val="center"/>
            </w:pPr>
            <w:r>
              <w:rPr>
                <w:rFonts w:ascii="宋体" w:hAnsi="宋体" w:eastAsia="宋体"/>
                <w:sz w:val="16"/>
              </w:rPr>
              <w:t>10170亩</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2AC8E0B">
            <w:pPr>
              <w:jc w:val="center"/>
            </w:pPr>
            <w:r>
              <w:rPr>
                <w:rFonts w:ascii="宋体" w:hAnsi="宋体" w:eastAsia="宋体"/>
                <w:sz w:val="16"/>
              </w:rPr>
              <w:t>15</w:t>
            </w:r>
          </w:p>
        </w:tc>
      </w:tr>
      <w:tr w14:paraId="0D9A2015">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33067950"/>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0384058F"/>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42BAD9">
            <w:pPr>
              <w:jc w:val="center"/>
            </w:pPr>
            <w:r>
              <w:rPr>
                <w:rFonts w:ascii="宋体" w:hAnsi="宋体" w:eastAsia="宋体"/>
                <w:sz w:val="16"/>
              </w:rPr>
              <w:t>人畜安全饮水普及率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49E6D11">
            <w:pPr>
              <w:jc w:val="center"/>
            </w:pPr>
            <w:r>
              <w:rPr>
                <w:rFonts w:ascii="宋体" w:hAnsi="宋体" w:eastAsia="宋体"/>
                <w:sz w:val="16"/>
              </w:rPr>
              <w:t>&gt;=100%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E409B64">
            <w:pPr>
              <w:jc w:val="center"/>
            </w:pPr>
            <w:r>
              <w:rPr>
                <w:rFonts w:ascii="宋体" w:hAnsi="宋体" w:eastAsia="宋体"/>
                <w:sz w:val="16"/>
              </w:rPr>
              <w:t>科克苏镇人民政府工作报告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86A593">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6798F70">
            <w:pPr>
              <w:jc w:val="center"/>
            </w:pPr>
            <w:r>
              <w:rPr>
                <w:rFonts w:ascii="宋体" w:hAnsi="宋体" w:eastAsia="宋体"/>
                <w:sz w:val="16"/>
              </w:rPr>
              <w:t>100%</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CE98AB8">
            <w:pPr>
              <w:jc w:val="center"/>
            </w:pPr>
            <w:r>
              <w:rPr>
                <w:rFonts w:ascii="宋体" w:hAnsi="宋体" w:eastAsia="宋体"/>
                <w:sz w:val="16"/>
              </w:rPr>
              <w:t>15</w:t>
            </w:r>
          </w:p>
        </w:tc>
      </w:tr>
      <w:tr w14:paraId="2130F983">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AE75399"/>
        </w:tc>
        <w:tc>
          <w:tcPr>
            <w:tcW w:w="1105"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4B2E35BB">
            <w:pPr>
              <w:jc w:val="center"/>
            </w:pPr>
            <w:r>
              <w:rPr>
                <w:rFonts w:ascii="宋体" w:hAnsi="宋体" w:eastAsia="宋体"/>
                <w:sz w:val="16"/>
              </w:rPr>
              <w:t>质量指标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58D635">
            <w:pPr>
              <w:jc w:val="center"/>
            </w:pPr>
            <w:r>
              <w:rPr>
                <w:rFonts w:ascii="宋体" w:hAnsi="宋体" w:eastAsia="宋体"/>
                <w:sz w:val="16"/>
              </w:rPr>
              <w:t>农村改厕普及率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CD94626">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1526542">
            <w:pPr>
              <w:jc w:val="center"/>
            </w:pPr>
            <w:r>
              <w:rPr>
                <w:rFonts w:ascii="宋体" w:hAnsi="宋体" w:eastAsia="宋体"/>
                <w:sz w:val="16"/>
              </w:rPr>
              <w:t>科克苏镇人民政府工作报告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3A710DC5">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D8F5C69">
            <w:pPr>
              <w:jc w:val="center"/>
            </w:pPr>
            <w:r>
              <w:rPr>
                <w:rFonts w:ascii="宋体" w:hAnsi="宋体" w:eastAsia="宋体"/>
                <w:sz w:val="16"/>
              </w:rPr>
              <w: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5F59EB">
            <w:pPr>
              <w:jc w:val="center"/>
            </w:pPr>
            <w:r>
              <w:rPr>
                <w:rFonts w:ascii="宋体" w:hAnsi="宋体" w:eastAsia="宋体"/>
                <w:sz w:val="16"/>
              </w:rPr>
              <w:t>15</w:t>
            </w:r>
          </w:p>
        </w:tc>
      </w:tr>
      <w:tr w14:paraId="0C929D3A">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2BC03D6"/>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16891153"/>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10E08AA">
            <w:pPr>
              <w:jc w:val="center"/>
            </w:pPr>
            <w:r>
              <w:rPr>
                <w:rFonts w:ascii="宋体" w:hAnsi="宋体" w:eastAsia="宋体"/>
                <w:sz w:val="16"/>
              </w:rPr>
              <w:t>全年完成劳动力转移</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905565E">
            <w:pPr>
              <w:jc w:val="center"/>
            </w:pPr>
            <w:r>
              <w:rPr>
                <w:rFonts w:ascii="宋体" w:hAnsi="宋体" w:eastAsia="宋体"/>
                <w:sz w:val="16"/>
              </w:rPr>
              <w:t>&gt;=1000人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79FBB9F">
            <w:pPr>
              <w:jc w:val="center"/>
            </w:pPr>
            <w:r>
              <w:rPr>
                <w:rFonts w:ascii="宋体" w:hAnsi="宋体" w:eastAsia="宋体"/>
                <w:sz w:val="16"/>
              </w:rPr>
              <w:t>科克苏镇人民政府工作报告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18344160">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C76E3BF">
            <w:pPr>
              <w:jc w:val="center"/>
            </w:pPr>
            <w:r>
              <w:rPr>
                <w:rFonts w:ascii="宋体" w:hAnsi="宋体" w:eastAsia="宋体"/>
                <w:sz w:val="16"/>
              </w:rPr>
              <w:t>1113人</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851D109">
            <w:pPr>
              <w:jc w:val="center"/>
            </w:pPr>
            <w:r>
              <w:rPr>
                <w:rFonts w:ascii="宋体" w:hAnsi="宋体" w:eastAsia="宋体"/>
                <w:sz w:val="16"/>
              </w:rPr>
              <w:t>15</w:t>
            </w:r>
          </w:p>
        </w:tc>
      </w:tr>
      <w:tr w14:paraId="516FC408">
        <w:tblPrEx>
          <w:tblCellMar>
            <w:top w:w="0" w:type="dxa"/>
            <w:left w:w="108" w:type="dxa"/>
            <w:bottom w:w="0" w:type="dxa"/>
            <w:right w:w="108" w:type="dxa"/>
          </w:tblCellMar>
        </w:tblPrEx>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75C50192"/>
        </w:tc>
        <w:tc>
          <w:tcPr>
            <w:tcW w:w="1105" w:type="dxa"/>
            <w:vMerge w:val="continue"/>
            <w:tcBorders>
              <w:top w:val="single" w:color="auto" w:sz="10" w:space="0"/>
              <w:left w:val="single" w:color="auto" w:sz="10" w:space="0"/>
              <w:bottom w:val="single" w:color="auto" w:sz="10" w:space="0"/>
              <w:right w:val="single" w:color="auto" w:sz="10" w:space="0"/>
              <w:insideV w:val="single" w:sz="10" w:space="0"/>
            </w:tcBorders>
          </w:tcPr>
          <w:p w14:paraId="41B37E18"/>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745C731E">
            <w:pPr>
              <w:jc w:val="center"/>
            </w:pPr>
            <w:r>
              <w:rPr>
                <w:rFonts w:ascii="宋体" w:hAnsi="宋体" w:eastAsia="宋体"/>
                <w:sz w:val="16"/>
              </w:rPr>
              <w:t>居民基本医疗保险参保率</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5A5013E1">
            <w:pPr>
              <w:jc w:val="center"/>
            </w:pPr>
            <w:r>
              <w:rPr>
                <w:rFonts w:ascii="宋体" w:hAnsi="宋体" w:eastAsia="宋体"/>
                <w:sz w:val="16"/>
              </w:rPr>
              <w:t>&gt;=95%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48D40137">
            <w:pPr>
              <w:jc w:val="center"/>
            </w:pPr>
            <w:r>
              <w:rPr>
                <w:rFonts w:ascii="宋体" w:hAnsi="宋体" w:eastAsia="宋体"/>
                <w:sz w:val="16"/>
              </w:rPr>
              <w:t>科克苏镇人民政府工作报告</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29DD771F">
            <w:pPr>
              <w:jc w:val="center"/>
            </w:pPr>
            <w:r>
              <w:rPr>
                <w:rFonts w:ascii="宋体" w:hAnsi="宋体" w:eastAsia="宋体"/>
                <w:sz w:val="16"/>
              </w:rPr>
              <w:t>15</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699FA696">
            <w:pPr>
              <w:jc w:val="center"/>
            </w:pPr>
            <w:r>
              <w:rPr>
                <w:rFonts w:ascii="宋体" w:hAnsi="宋体" w:eastAsia="宋体"/>
                <w:sz w:val="16"/>
              </w:rPr>
              <w:t>97.03%</w:t>
            </w:r>
          </w:p>
        </w:tc>
        <w:tc>
          <w:tcPr>
            <w:tcW w:w="1105" w:type="dxa"/>
            <w:tcBorders>
              <w:top w:val="single" w:color="auto" w:sz="10" w:space="0"/>
              <w:left w:val="single" w:color="auto" w:sz="10" w:space="0"/>
              <w:bottom w:val="single" w:color="auto" w:sz="10" w:space="0"/>
              <w:right w:val="single" w:color="auto" w:sz="10" w:space="0"/>
              <w:insideV w:val="single" w:sz="10" w:space="0"/>
            </w:tcBorders>
            <w:vAlign w:val="center"/>
          </w:tcPr>
          <w:p w14:paraId="05525C51">
            <w:pPr>
              <w:jc w:val="center"/>
            </w:pPr>
            <w:r>
              <w:rPr>
                <w:rFonts w:ascii="宋体" w:hAnsi="宋体" w:eastAsia="宋体"/>
                <w:sz w:val="16"/>
              </w:rPr>
              <w:t>15</w:t>
            </w:r>
          </w:p>
        </w:tc>
      </w:tr>
    </w:tbl>
    <w:p w14:paraId="6E50CF05">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32"/>
        <w:gridCol w:w="632"/>
        <w:gridCol w:w="632"/>
        <w:gridCol w:w="632"/>
        <w:gridCol w:w="632"/>
        <w:gridCol w:w="632"/>
        <w:gridCol w:w="632"/>
        <w:gridCol w:w="632"/>
        <w:gridCol w:w="632"/>
      </w:tblGrid>
      <w:tr w14:paraId="3F4E41BF">
        <w:tblPrEx>
          <w:tblCellMar>
            <w:top w:w="0" w:type="dxa"/>
            <w:left w:w="108" w:type="dxa"/>
            <w:bottom w:w="0" w:type="dxa"/>
            <w:right w:w="108" w:type="dxa"/>
          </w:tblCellMar>
        </w:tblPrEx>
        <w:tc>
          <w:tcPr>
            <w:tcW w:w="8848" w:type="dxa"/>
            <w:gridSpan w:val="14"/>
            <w:vAlign w:val="center"/>
          </w:tcPr>
          <w:p w14:paraId="6A07A059">
            <w:pPr>
              <w:jc w:val="center"/>
            </w:pPr>
            <w:r>
              <w:rPr>
                <w:rFonts w:ascii="宋体" w:hAnsi="宋体" w:eastAsia="宋体"/>
                <w:sz w:val="24"/>
              </w:rPr>
              <w:t>项目支出绩效自评表</w:t>
            </w:r>
          </w:p>
        </w:tc>
      </w:tr>
      <w:tr w14:paraId="7542AF68">
        <w:tblPrEx>
          <w:tblCellMar>
            <w:top w:w="0" w:type="dxa"/>
            <w:left w:w="108" w:type="dxa"/>
            <w:bottom w:w="0" w:type="dxa"/>
            <w:right w:w="108" w:type="dxa"/>
          </w:tblCellMar>
        </w:tblPrEx>
        <w:tc>
          <w:tcPr>
            <w:tcW w:w="8848" w:type="dxa"/>
            <w:gridSpan w:val="14"/>
            <w:vAlign w:val="center"/>
          </w:tcPr>
          <w:p w14:paraId="0B06D704">
            <w:pPr>
              <w:jc w:val="center"/>
            </w:pPr>
            <w:r>
              <w:rPr>
                <w:rFonts w:ascii="宋体" w:hAnsi="宋体" w:eastAsia="宋体"/>
                <w:sz w:val="24"/>
              </w:rPr>
              <w:t>(2024年度)</w:t>
            </w:r>
          </w:p>
        </w:tc>
      </w:tr>
      <w:tr w14:paraId="06CD9BF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78C6495">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7EC7A37E">
            <w:pPr>
              <w:jc w:val="center"/>
            </w:pPr>
            <w:r>
              <w:rPr>
                <w:rFonts w:ascii="宋体" w:hAnsi="宋体" w:eastAsia="宋体"/>
                <w:sz w:val="16"/>
              </w:rPr>
              <w:t>伊犁州特克斯县科克苏镇2024年度牧民越冬放牧点生产用房（居住）建设项目</w:t>
            </w:r>
          </w:p>
        </w:tc>
      </w:tr>
      <w:tr w14:paraId="63AC1052">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50D0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46896645">
            <w:pPr>
              <w:jc w:val="center"/>
            </w:pPr>
            <w:r>
              <w:rPr>
                <w:rFonts w:ascii="宋体" w:hAnsi="宋体" w:eastAsia="宋体"/>
                <w:sz w:val="16"/>
              </w:rPr>
              <w:t>特克斯县阔克苏乡人民政府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ED61DA1">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71981D2C">
            <w:pPr>
              <w:jc w:val="center"/>
            </w:pPr>
            <w:r>
              <w:rPr>
                <w:rFonts w:ascii="宋体" w:hAnsi="宋体" w:eastAsia="宋体"/>
                <w:sz w:val="16"/>
              </w:rPr>
              <w:t>特克斯县阔克苏乡人民政府</w:t>
            </w:r>
          </w:p>
        </w:tc>
      </w:tr>
      <w:tr w14:paraId="19DD9A14">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5832FD4">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2E7FE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5A354F">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916B9D">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82C9C7">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A6D10DE">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44B9A65">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762D4C">
            <w:pPr>
              <w:jc w:val="center"/>
            </w:pPr>
            <w:r>
              <w:rPr>
                <w:rFonts w:ascii="宋体" w:hAnsi="宋体" w:eastAsia="宋体"/>
                <w:sz w:val="16"/>
              </w:rPr>
              <w:t>得分</w:t>
            </w:r>
          </w:p>
        </w:tc>
      </w:tr>
      <w:tr w14:paraId="625BFB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2A1706F"/>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30BD10">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7CD9662">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58569C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B63FDA">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C51B359">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496EBE5">
            <w:pPr>
              <w:jc w:val="center"/>
            </w:pPr>
            <w:r>
              <w:rPr>
                <w:rFonts w:ascii="宋体" w:hAnsi="宋体" w:eastAsia="宋体"/>
                <w:sz w:val="16"/>
              </w:rPr>
              <w:t>100.00%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D9F626A">
            <w:pPr>
              <w:jc w:val="center"/>
            </w:pPr>
            <w:r>
              <w:rPr>
                <w:rFonts w:ascii="宋体" w:hAnsi="宋体" w:eastAsia="宋体"/>
                <w:sz w:val="16"/>
              </w:rPr>
              <w:t>10.00</w:t>
            </w:r>
          </w:p>
        </w:tc>
      </w:tr>
      <w:tr w14:paraId="0445C23D">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C0A082"/>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D1A02BF">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1C29FBE">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41810B4">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FD25920">
            <w:pPr>
              <w:jc w:val="center"/>
            </w:pPr>
            <w:r>
              <w:rPr>
                <w:rFonts w:ascii="宋体" w:hAnsi="宋体" w:eastAsia="宋体"/>
                <w:sz w:val="16"/>
              </w:rPr>
              <w:t>48.00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D5EFA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87CC565">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D6D1807">
            <w:pPr>
              <w:jc w:val="center"/>
            </w:pPr>
            <w:r>
              <w:rPr>
                <w:rFonts w:ascii="宋体" w:hAnsi="宋体" w:eastAsia="宋体"/>
                <w:sz w:val="16"/>
              </w:rPr>
              <w:t>—</w:t>
            </w:r>
          </w:p>
        </w:tc>
      </w:tr>
      <w:tr w14:paraId="2C3FF0A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8AA93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52055E2">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EEC4BAC">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CADDF71">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B1673FE">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FB0153">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5C3868">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65CF3D">
            <w:pPr>
              <w:jc w:val="center"/>
            </w:pPr>
            <w:r>
              <w:rPr>
                <w:rFonts w:ascii="宋体" w:hAnsi="宋体" w:eastAsia="宋体"/>
                <w:sz w:val="16"/>
              </w:rPr>
              <w:t>—</w:t>
            </w:r>
          </w:p>
        </w:tc>
      </w:tr>
      <w:tr w14:paraId="01C58413">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2DEF1C98">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5D5DBA1E">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06D2219">
            <w:pPr>
              <w:jc w:val="center"/>
            </w:pPr>
            <w:r>
              <w:rPr>
                <w:rFonts w:ascii="宋体" w:hAnsi="宋体" w:eastAsia="宋体"/>
                <w:sz w:val="16"/>
              </w:rPr>
              <w:t>实际完成情况</w:t>
            </w:r>
          </w:p>
        </w:tc>
      </w:tr>
      <w:tr w14:paraId="3EB8EC2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8032AC8"/>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2D9FEC0">
            <w:pPr>
              <w:jc w:val="both"/>
            </w:pPr>
            <w:r>
              <w:rPr>
                <w:rFonts w:ascii="宋体" w:hAnsi="宋体" w:eastAsia="宋体"/>
                <w:sz w:val="16"/>
              </w:rPr>
              <w:t>通过《关于下达2024年城乡抗震安居工程建设民生实施资金预算的通知》伊州财建</w:t>
            </w:r>
            <w:r>
              <w:rPr>
                <w:rFonts w:hint="eastAsia" w:ascii="宋体" w:hAnsi="宋体"/>
                <w:sz w:val="16"/>
                <w:lang w:eastAsia="zh-CN"/>
              </w:rPr>
              <w:t>〔2024〕81号</w:t>
            </w:r>
            <w:r>
              <w:rPr>
                <w:rFonts w:ascii="宋体" w:hAnsi="宋体" w:eastAsia="宋体"/>
                <w:sz w:val="16"/>
              </w:rPr>
              <w:t>，完成拆除及新建工作。在综合研判我镇牧区地质结构和运费的基础上，实施面积为15-30平方米木结构房屋，轻钢房，共建16户，单户建房价格控制在3万元以内，同时达到抗震、保温、防水要求，牧民越冬放牧点生产用房(居住)建成后上级有关部门按照相关要求进行验收。改善牧民生活环境，提供牧民住房保障，</w:t>
            </w:r>
            <w:r>
              <w:rPr>
                <w:rFonts w:hint="eastAsia" w:ascii="宋体" w:hAnsi="宋体"/>
                <w:sz w:val="16"/>
                <w:lang w:eastAsia="zh-CN"/>
              </w:rPr>
              <w:t>提高</w:t>
            </w:r>
            <w:r>
              <w:rPr>
                <w:rFonts w:ascii="宋体" w:hAnsi="宋体" w:eastAsia="宋体"/>
                <w:sz w:val="16"/>
              </w:rPr>
              <w:t>居民生活水平。</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4BABBA6">
            <w:pPr>
              <w:jc w:val="both"/>
            </w:pPr>
            <w:r>
              <w:rPr>
                <w:rFonts w:ascii="宋体" w:hAnsi="宋体" w:eastAsia="宋体"/>
                <w:sz w:val="16"/>
              </w:rPr>
              <w:t>2024科克苏镇喀拉峻社区已完成16户轻钢房，16户全部验收合格。</w:t>
            </w:r>
          </w:p>
        </w:tc>
      </w:tr>
      <w:tr w14:paraId="49560A8E">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6D0E8FE4"/>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96B025">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4EC976">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6A17E7">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BBD57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43F6C4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7A8B46">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69238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96FE13">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4B7642">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B16EF9">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84884E">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94A9079">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BC9DFC0">
            <w:pPr>
              <w:jc w:val="center"/>
            </w:pPr>
            <w:r>
              <w:rPr>
                <w:rFonts w:ascii="宋体" w:hAnsi="宋体" w:eastAsia="宋体"/>
                <w:sz w:val="16"/>
              </w:rPr>
              <w:t>偏差原因分析及改进措施</w:t>
            </w:r>
          </w:p>
        </w:tc>
      </w:tr>
      <w:tr w14:paraId="56C5ADC1">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03A2D44">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80D6DAF">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3CC6D3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8FB967">
            <w:pPr>
              <w:jc w:val="center"/>
            </w:pPr>
            <w:r>
              <w:rPr>
                <w:rFonts w:ascii="宋体" w:hAnsi="宋体" w:eastAsia="宋体"/>
                <w:sz w:val="16"/>
              </w:rPr>
              <w:t>新建放牧越冬户数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6D4AD2">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080CB">
            <w:pPr>
              <w:jc w:val="center"/>
            </w:pPr>
            <w:r>
              <w:rPr>
                <w:rFonts w:ascii="宋体" w:hAnsi="宋体" w:eastAsia="宋体"/>
                <w:sz w:val="16"/>
              </w:rPr>
              <w:t>=16户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39FCF5">
            <w:pPr>
              <w:jc w:val="center"/>
            </w:pPr>
            <w:r>
              <w:rPr>
                <w:rFonts w:ascii="宋体" w:hAnsi="宋体" w:eastAsia="宋体"/>
                <w:sz w:val="16"/>
              </w:rPr>
              <w:t>16户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87406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6E0CDD">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9196B0">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CB193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3DABBF">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A221F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76CD6B">
            <w:pPr>
              <w:jc w:val="center"/>
            </w:pPr>
          </w:p>
        </w:tc>
      </w:tr>
      <w:tr w14:paraId="2D600DF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3EE58D5"/>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B7A678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C79B4BA"/>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A77138">
            <w:pPr>
              <w:jc w:val="center"/>
            </w:pPr>
            <w:r>
              <w:rPr>
                <w:rFonts w:ascii="宋体" w:hAnsi="宋体" w:eastAsia="宋体"/>
                <w:sz w:val="16"/>
              </w:rPr>
              <w:t>城乡抗震安居工程建设</w:t>
            </w:r>
            <w:r>
              <w:rPr>
                <w:rFonts w:hint="eastAsia" w:ascii="宋体" w:hAnsi="宋体"/>
                <w:sz w:val="16"/>
                <w:lang w:eastAsia="zh-CN"/>
              </w:rPr>
              <w:t>民生实事</w:t>
            </w:r>
            <w:r>
              <w:rPr>
                <w:rFonts w:ascii="宋体" w:hAnsi="宋体" w:eastAsia="宋体"/>
                <w:sz w:val="16"/>
              </w:rPr>
              <w:t>涉及县市区数量</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5AFB478">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4C2B74">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00CDBC">
            <w:pPr>
              <w:jc w:val="center"/>
            </w:pPr>
            <w:r>
              <w:rPr>
                <w:rFonts w:ascii="宋体" w:hAnsi="宋体" w:eastAsia="宋体"/>
                <w:sz w:val="16"/>
              </w:rPr>
              <w:t>1个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C6298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72EE6">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EC30F7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CB57D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E83655">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2F11B5">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7A5B0C">
            <w:pPr>
              <w:jc w:val="center"/>
            </w:pPr>
          </w:p>
        </w:tc>
      </w:tr>
      <w:tr w14:paraId="39C175E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4B5B20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808F3B2"/>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41545D0">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E545BDC">
            <w:pPr>
              <w:jc w:val="center"/>
            </w:pPr>
            <w:r>
              <w:rPr>
                <w:rFonts w:ascii="宋体" w:hAnsi="宋体" w:eastAsia="宋体"/>
                <w:sz w:val="16"/>
              </w:rPr>
              <w:t>竣工验收合格率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6B02E3">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001A6A9">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76C12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CA76D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2BAC4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47BB3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59BA1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97E99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E2D3B9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507F65">
            <w:pPr>
              <w:jc w:val="center"/>
            </w:pPr>
          </w:p>
        </w:tc>
      </w:tr>
      <w:tr w14:paraId="6A8F2EC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8669D6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55DBDB2"/>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13B8C9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08FC25">
            <w:pPr>
              <w:jc w:val="center"/>
            </w:pPr>
            <w:r>
              <w:rPr>
                <w:rFonts w:ascii="宋体" w:hAnsi="宋体" w:eastAsia="宋体"/>
                <w:sz w:val="16"/>
              </w:rPr>
              <w:t>城乡抗震安居工程完工率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E6C49F">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7186E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17C2FA">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8884F8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0D4270">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A7E38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3ECE4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C4E3A72">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E95D2F">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93668">
            <w:pPr>
              <w:jc w:val="center"/>
            </w:pPr>
          </w:p>
        </w:tc>
      </w:tr>
      <w:tr w14:paraId="3402298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A055243"/>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92D664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2CDBFA6">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A9020A">
            <w:pPr>
              <w:jc w:val="center"/>
            </w:pPr>
            <w:r>
              <w:rPr>
                <w:rFonts w:ascii="宋体" w:hAnsi="宋体" w:eastAsia="宋体"/>
                <w:sz w:val="16"/>
              </w:rPr>
              <w:t>工作任务完成时限</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90C8B">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E0D756">
            <w:pPr>
              <w:jc w:val="center"/>
            </w:pPr>
            <w:r>
              <w:rPr>
                <w:rFonts w:ascii="宋体" w:hAnsi="宋体" w:eastAsia="宋体"/>
                <w:sz w:val="16"/>
              </w:rPr>
              <w:t>=11月底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4519BE">
            <w:pPr>
              <w:jc w:val="center"/>
            </w:pPr>
            <w:r>
              <w:rPr>
                <w:rFonts w:ascii="宋体" w:hAnsi="宋体" w:eastAsia="宋体"/>
                <w:sz w:val="16"/>
              </w:rPr>
              <w:t>11月底</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E692CC">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73D129C">
            <w:pPr>
              <w:jc w:val="center"/>
            </w:pPr>
            <w:r>
              <w:rPr>
                <w:rFonts w:ascii="宋体" w:hAnsi="宋体" w:eastAsia="宋体"/>
                <w:sz w:val="16"/>
              </w:rPr>
              <w:t>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2D5D23">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6B313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645D2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B8526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A404DE">
            <w:pPr>
              <w:jc w:val="center"/>
            </w:pPr>
          </w:p>
        </w:tc>
      </w:tr>
      <w:tr w14:paraId="4BEA9E5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978AB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73B33">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EA3E76">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D57B28">
            <w:pPr>
              <w:jc w:val="center"/>
            </w:pPr>
            <w:r>
              <w:rPr>
                <w:rFonts w:ascii="宋体" w:hAnsi="宋体" w:eastAsia="宋体"/>
                <w:sz w:val="16"/>
              </w:rPr>
              <w:t>新建放牧越冬平均标准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7D4EC8">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7DE1E3">
            <w:pPr>
              <w:jc w:val="center"/>
            </w:pPr>
            <w:r>
              <w:rPr>
                <w:rFonts w:ascii="宋体" w:hAnsi="宋体" w:eastAsia="宋体"/>
                <w:sz w:val="16"/>
              </w:rPr>
              <w:t>&lt;=3万元/户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1288599">
            <w:pPr>
              <w:jc w:val="center"/>
            </w:pPr>
            <w:r>
              <w:rPr>
                <w:rFonts w:ascii="宋体" w:hAnsi="宋体" w:eastAsia="宋体"/>
                <w:sz w:val="16"/>
              </w:rPr>
              <w:t>3万元/户</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AB1332">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5252F5">
            <w:pPr>
              <w:jc w:val="center"/>
            </w:pPr>
            <w:r>
              <w:rPr>
                <w:rFonts w:ascii="宋体" w:hAnsi="宋体" w:eastAsia="宋体"/>
                <w:sz w:val="16"/>
              </w:rPr>
              <w:t>20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D46A7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F5C40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B404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C82C00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655C6B">
            <w:pPr>
              <w:jc w:val="center"/>
            </w:pPr>
          </w:p>
        </w:tc>
      </w:tr>
      <w:tr w14:paraId="7811A8EE">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DE3EDEC"/>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49912A8">
            <w:pPr>
              <w:jc w:val="center"/>
            </w:pPr>
            <w:r>
              <w:rPr>
                <w:rFonts w:ascii="宋体" w:hAnsi="宋体" w:eastAsia="宋体"/>
                <w:sz w:val="16"/>
              </w:rPr>
              <w:t>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D23A45D">
            <w:pPr>
              <w:jc w:val="center"/>
            </w:pPr>
            <w:r>
              <w:rPr>
                <w:rFonts w:ascii="宋体" w:hAnsi="宋体" w:eastAsia="宋体"/>
                <w:sz w:val="16"/>
              </w:rPr>
              <w:t>经济效益指标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1D057D2">
            <w:pPr>
              <w:jc w:val="center"/>
            </w:pPr>
            <w:r>
              <w:rPr>
                <w:rFonts w:ascii="宋体" w:hAnsi="宋体" w:eastAsia="宋体"/>
                <w:sz w:val="16"/>
              </w:rPr>
              <w:t>城乡抗震安居工程建设</w:t>
            </w:r>
            <w:r>
              <w:rPr>
                <w:rFonts w:hint="eastAsia" w:ascii="宋体" w:hAnsi="宋体"/>
                <w:sz w:val="16"/>
                <w:lang w:eastAsia="zh-CN"/>
              </w:rPr>
              <w:t>民生实事</w:t>
            </w:r>
            <w:r>
              <w:rPr>
                <w:rFonts w:ascii="宋体" w:hAnsi="宋体" w:eastAsia="宋体"/>
                <w:sz w:val="16"/>
              </w:rPr>
              <w:t>资金需求</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9D7D8F">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F0E03FB">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6979FA8">
            <w:pPr>
              <w:jc w:val="center"/>
            </w:pPr>
            <w:r>
              <w:rPr>
                <w:rFonts w:ascii="宋体" w:hAnsi="宋体" w:eastAsia="宋体"/>
                <w:sz w:val="16"/>
              </w:rPr>
              <w:t>48万元</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0C077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67D508">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F44286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9B1913">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D36D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B205B4">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ACDCB03">
            <w:pPr>
              <w:jc w:val="center"/>
            </w:pPr>
          </w:p>
        </w:tc>
      </w:tr>
      <w:tr w14:paraId="5EE8FE56">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B7CB7F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4D08FC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6626AF">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8F26E17">
            <w:pPr>
              <w:jc w:val="center"/>
            </w:pPr>
            <w:r>
              <w:rPr>
                <w:rFonts w:ascii="宋体" w:hAnsi="宋体" w:eastAsia="宋体"/>
                <w:sz w:val="16"/>
              </w:rPr>
              <w:t>城乡抗震安居工程建设房屋安全隐患排查整治成果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68551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494B419">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5BEA9A">
            <w:pPr>
              <w:jc w:val="center"/>
            </w:pPr>
            <w:r>
              <w:rPr>
                <w:rFonts w:ascii="宋体" w:hAnsi="宋体" w:eastAsia="宋体"/>
                <w:sz w:val="16"/>
              </w:rPr>
              <w:t>成效明显</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C73357">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1CFF2">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D70FBE">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1F757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78A68B">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4F4CD1">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ED98BD3">
            <w:pPr>
              <w:jc w:val="center"/>
            </w:pPr>
          </w:p>
        </w:tc>
      </w:tr>
      <w:tr w14:paraId="17AF225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927C6EC"/>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2B77D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8FCCE2B">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B5E917A">
            <w:pPr>
              <w:jc w:val="center"/>
            </w:pPr>
            <w:r>
              <w:rPr>
                <w:rFonts w:ascii="宋体" w:hAnsi="宋体" w:eastAsia="宋体"/>
                <w:sz w:val="16"/>
              </w:rPr>
              <w:t>服务对象满意度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B95301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3E6674E">
            <w:pPr>
              <w:jc w:val="center"/>
            </w:pPr>
            <w:r>
              <w:rPr>
                <w:rFonts w:ascii="宋体" w:hAnsi="宋体" w:eastAsia="宋体"/>
                <w:sz w:val="16"/>
              </w:rPr>
              <w:t>&gt;=90%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FC7941">
            <w:pPr>
              <w:jc w:val="center"/>
            </w:pPr>
            <w:r>
              <w:rPr>
                <w:rFonts w:ascii="宋体" w:hAnsi="宋体" w:eastAsia="宋体"/>
                <w:sz w:val="16"/>
              </w:rPr>
              <w: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3141FF">
            <w:pPr>
              <w:jc w:val="center"/>
            </w:pPr>
            <w:r>
              <w:rPr>
                <w:rFonts w:ascii="宋体" w:hAnsi="宋体" w:eastAsia="宋体"/>
                <w:sz w:val="16"/>
              </w:rPr>
              <w:t>106%</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2FB5CD">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9425CF">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0AB29F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AC3306E">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9C11FC3">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57A7543">
            <w:pPr>
              <w:jc w:val="center"/>
            </w:pPr>
            <w:r>
              <w:rPr>
                <w:rFonts w:ascii="宋体" w:hAnsi="宋体" w:eastAsia="宋体"/>
                <w:sz w:val="16"/>
              </w:rPr>
              <w:t>不同居民对居住住房的认知和期望不同，下年度从严从高提高指标。</w:t>
            </w:r>
          </w:p>
        </w:tc>
      </w:tr>
      <w:tr w14:paraId="773A45A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B58021E">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BB4B8">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090EAC60"/>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BEA12EC"/>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325279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6121FF2">
            <w:pPr>
              <w:jc w:val="center"/>
            </w:pPr>
            <w:r>
              <w:rPr>
                <w:rFonts w:ascii="宋体" w:hAnsi="宋体" w:eastAsia="宋体"/>
                <w:sz w:val="16"/>
              </w:rPr>
              <w:t>100分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0390539"/>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ACCE5"/>
        </w:tc>
        <w:tc>
          <w:tcPr>
            <w:tcW w:w="632" w:type="dxa"/>
            <w:tcBorders>
              <w:top w:val="single" w:color="auto" w:sz="10" w:space="0"/>
              <w:left w:val="single" w:color="auto" w:sz="10" w:space="0"/>
              <w:bottom w:val="single" w:color="auto" w:sz="10" w:space="0"/>
              <w:right w:val="single" w:color="auto" w:sz="10" w:space="0"/>
              <w:insideV w:val="single" w:sz="10" w:space="0"/>
            </w:tcBorders>
          </w:tcPr>
          <w:p w14:paraId="2E3D24E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4367D86"/>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19BAEFF"/>
        </w:tc>
      </w:tr>
    </w:tbl>
    <w:p w14:paraId="115D5A5F">
      <w:r>
        <w:br w:type="page"/>
      </w:r>
    </w:p>
    <w:tbl>
      <w:tblPr>
        <w:tblStyle w:val="9"/>
        <w:tblW w:w="0" w:type="auto"/>
        <w:tblInd w:w="0" w:type="dxa"/>
        <w:tblLayout w:type="autofit"/>
        <w:tblCellMar>
          <w:top w:w="0" w:type="dxa"/>
          <w:left w:w="108" w:type="dxa"/>
          <w:bottom w:w="0" w:type="dxa"/>
          <w:right w:w="108" w:type="dxa"/>
        </w:tblCellMar>
      </w:tblPr>
      <w:tblGrid>
        <w:gridCol w:w="632"/>
        <w:gridCol w:w="632"/>
        <w:gridCol w:w="632"/>
        <w:gridCol w:w="632"/>
        <w:gridCol w:w="632"/>
        <w:gridCol w:w="696"/>
        <w:gridCol w:w="696"/>
        <w:gridCol w:w="696"/>
        <w:gridCol w:w="632"/>
        <w:gridCol w:w="632"/>
        <w:gridCol w:w="632"/>
        <w:gridCol w:w="632"/>
        <w:gridCol w:w="632"/>
        <w:gridCol w:w="632"/>
      </w:tblGrid>
      <w:tr w14:paraId="724A0047">
        <w:tblPrEx>
          <w:tblCellMar>
            <w:top w:w="0" w:type="dxa"/>
            <w:left w:w="108" w:type="dxa"/>
            <w:bottom w:w="0" w:type="dxa"/>
            <w:right w:w="108" w:type="dxa"/>
          </w:tblCellMar>
        </w:tblPrEx>
        <w:tc>
          <w:tcPr>
            <w:tcW w:w="8848" w:type="dxa"/>
            <w:gridSpan w:val="14"/>
            <w:vAlign w:val="center"/>
          </w:tcPr>
          <w:p w14:paraId="7C8936EB">
            <w:pPr>
              <w:jc w:val="center"/>
            </w:pPr>
            <w:r>
              <w:rPr>
                <w:rFonts w:ascii="宋体" w:hAnsi="宋体" w:eastAsia="宋体"/>
                <w:sz w:val="24"/>
              </w:rPr>
              <w:t>项目支出绩效自评表</w:t>
            </w:r>
          </w:p>
        </w:tc>
      </w:tr>
      <w:tr w14:paraId="104FD906">
        <w:tblPrEx>
          <w:tblCellMar>
            <w:top w:w="0" w:type="dxa"/>
            <w:left w:w="108" w:type="dxa"/>
            <w:bottom w:w="0" w:type="dxa"/>
            <w:right w:w="108" w:type="dxa"/>
          </w:tblCellMar>
        </w:tblPrEx>
        <w:tc>
          <w:tcPr>
            <w:tcW w:w="8848" w:type="dxa"/>
            <w:gridSpan w:val="14"/>
            <w:vAlign w:val="center"/>
          </w:tcPr>
          <w:p w14:paraId="4F697917">
            <w:pPr>
              <w:jc w:val="center"/>
            </w:pPr>
            <w:r>
              <w:rPr>
                <w:rFonts w:ascii="宋体" w:hAnsi="宋体" w:eastAsia="宋体"/>
                <w:sz w:val="24"/>
              </w:rPr>
              <w:t>(2024年度)</w:t>
            </w:r>
          </w:p>
        </w:tc>
      </w:tr>
      <w:tr w14:paraId="121AF07C">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9028E47">
            <w:pPr>
              <w:jc w:val="center"/>
            </w:pPr>
            <w:r>
              <w:rPr>
                <w:rFonts w:ascii="宋体" w:hAnsi="宋体" w:eastAsia="宋体"/>
                <w:sz w:val="16"/>
              </w:rPr>
              <w:t>项目名称</w:t>
            </w:r>
          </w:p>
        </w:tc>
        <w:tc>
          <w:tcPr>
            <w:tcW w:w="8216"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9924B80">
            <w:pPr>
              <w:jc w:val="center"/>
            </w:pPr>
            <w:r>
              <w:rPr>
                <w:rFonts w:ascii="宋体" w:hAnsi="宋体" w:eastAsia="宋体"/>
                <w:sz w:val="16"/>
              </w:rPr>
              <w:t>伊犁州特克斯县阔克苏乡2023年村级组织活动场所建设项目</w:t>
            </w:r>
          </w:p>
        </w:tc>
      </w:tr>
      <w:tr w14:paraId="61BAF60B">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C299C4">
            <w:pPr>
              <w:jc w:val="center"/>
            </w:pPr>
            <w:r>
              <w:rPr>
                <w:rFonts w:ascii="宋体" w:hAnsi="宋体" w:eastAsia="宋体"/>
                <w:sz w:val="16"/>
              </w:rPr>
              <w:t>主管部门</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B8F4BD5">
            <w:pPr>
              <w:jc w:val="center"/>
            </w:pPr>
            <w:r>
              <w:rPr>
                <w:rFonts w:ascii="宋体" w:hAnsi="宋体" w:eastAsia="宋体"/>
                <w:sz w:val="16"/>
              </w:rPr>
              <w:t>特克斯县阔克苏乡人民政府</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DA738F">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160"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199840B7">
            <w:pPr>
              <w:jc w:val="center"/>
            </w:pPr>
            <w:r>
              <w:rPr>
                <w:rFonts w:ascii="宋体" w:hAnsi="宋体" w:eastAsia="宋体"/>
                <w:sz w:val="16"/>
              </w:rPr>
              <w:t>特克斯县阔克苏乡人民政府</w:t>
            </w:r>
          </w:p>
        </w:tc>
      </w:tr>
      <w:tr w14:paraId="59540F57">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17FB2EF">
            <w:pPr>
              <w:jc w:val="center"/>
            </w:pPr>
            <w:r>
              <w:rPr>
                <w:rFonts w:ascii="宋体" w:hAnsi="宋体" w:eastAsia="宋体"/>
                <w:sz w:val="16"/>
              </w:rPr>
              <w:t>项目资金（万元）</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B797852">
            <w:pPr>
              <w:jc w:val="center"/>
            </w:pP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5F0C74">
            <w:pPr>
              <w:jc w:val="center"/>
            </w:pPr>
            <w:r>
              <w:rPr>
                <w:rFonts w:ascii="宋体" w:hAnsi="宋体" w:eastAsia="宋体"/>
                <w:sz w:val="16"/>
              </w:rPr>
              <w:t>年初预算数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62B055">
            <w:pPr>
              <w:jc w:val="center"/>
            </w:pPr>
            <w:r>
              <w:rPr>
                <w:rFonts w:ascii="宋体" w:hAnsi="宋体" w:eastAsia="宋体"/>
                <w:sz w:val="16"/>
              </w:rPr>
              <w:t>全年预算数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598F19">
            <w:pPr>
              <w:jc w:val="center"/>
            </w:pPr>
            <w:r>
              <w:rPr>
                <w:rFonts w:ascii="宋体" w:hAnsi="宋体" w:eastAsia="宋体"/>
                <w:sz w:val="16"/>
              </w:rPr>
              <w:t>全年执行数</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8F5D9E5">
            <w:pPr>
              <w:jc w:val="center"/>
            </w:pPr>
            <w:r>
              <w:rPr>
                <w:rFonts w:ascii="宋体" w:hAnsi="宋体" w:eastAsia="宋体"/>
                <w:sz w:val="16"/>
              </w:rPr>
              <w:t>分值</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C67D4C6">
            <w:pPr>
              <w:jc w:val="center"/>
            </w:pPr>
            <w:r>
              <w:rPr>
                <w:rFonts w:ascii="宋体" w:hAnsi="宋体" w:eastAsia="宋体"/>
                <w:sz w:val="16"/>
              </w:rPr>
              <w:t>执行率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60DC196">
            <w:pPr>
              <w:jc w:val="center"/>
            </w:pPr>
            <w:r>
              <w:rPr>
                <w:rFonts w:ascii="宋体" w:hAnsi="宋体" w:eastAsia="宋体"/>
                <w:sz w:val="16"/>
              </w:rPr>
              <w:t>得分</w:t>
            </w:r>
          </w:p>
        </w:tc>
      </w:tr>
      <w:tr w14:paraId="55AD7A5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0398D5"/>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4ADE96F">
            <w:pPr>
              <w:jc w:val="center"/>
            </w:pPr>
            <w:r>
              <w:rPr>
                <w:rFonts w:ascii="宋体" w:hAnsi="宋体" w:eastAsia="宋体"/>
                <w:sz w:val="16"/>
              </w:rPr>
              <w:t>年度资金总额</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6748ABE">
            <w:pPr>
              <w:jc w:val="center"/>
            </w:pPr>
            <w:r>
              <w:rPr>
                <w:rFonts w:ascii="宋体" w:hAnsi="宋体" w:eastAsia="宋体"/>
                <w:sz w:val="16"/>
              </w:rPr>
              <w:t>155.71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D7CA684">
            <w:pPr>
              <w:jc w:val="center"/>
            </w:pPr>
            <w:r>
              <w:rPr>
                <w:rFonts w:ascii="宋体" w:hAnsi="宋体" w:eastAsia="宋体"/>
                <w:sz w:val="16"/>
              </w:rPr>
              <w:t>210.35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5DC0624">
            <w:pPr>
              <w:jc w:val="center"/>
            </w:pPr>
            <w:r>
              <w:rPr>
                <w:rFonts w:ascii="宋体" w:hAnsi="宋体" w:eastAsia="宋体"/>
                <w:sz w:val="16"/>
              </w:rPr>
              <w:t>155.71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9545730">
            <w:pPr>
              <w:jc w:val="center"/>
            </w:pPr>
            <w:r>
              <w:rPr>
                <w:rFonts w:ascii="宋体" w:hAnsi="宋体" w:eastAsia="宋体"/>
                <w:sz w:val="16"/>
              </w:rPr>
              <w:t>10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231C1">
            <w:pPr>
              <w:jc w:val="center"/>
            </w:pPr>
            <w:r>
              <w:rPr>
                <w:rFonts w:ascii="宋体" w:hAnsi="宋体" w:eastAsia="宋体"/>
                <w:sz w:val="16"/>
              </w:rPr>
              <w:t>74.02%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3F963FF">
            <w:pPr>
              <w:jc w:val="center"/>
            </w:pPr>
            <w:r>
              <w:rPr>
                <w:rFonts w:ascii="宋体" w:hAnsi="宋体" w:eastAsia="宋体"/>
                <w:sz w:val="16"/>
              </w:rPr>
              <w:t>3.50</w:t>
            </w:r>
          </w:p>
        </w:tc>
      </w:tr>
      <w:tr w14:paraId="1478609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7BE8F1B"/>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EBBCAEA">
            <w:pPr>
              <w:jc w:val="center"/>
            </w:pPr>
            <w:r>
              <w:rPr>
                <w:rFonts w:ascii="宋体" w:hAnsi="宋体" w:eastAsia="宋体"/>
                <w:sz w:val="16"/>
              </w:rPr>
              <w:t>其中：当年财政拨款</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582EF6B">
            <w:pPr>
              <w:jc w:val="center"/>
            </w:pPr>
            <w:r>
              <w:rPr>
                <w:rFonts w:ascii="宋体" w:hAnsi="宋体" w:eastAsia="宋体"/>
                <w:sz w:val="16"/>
              </w:rPr>
              <w:t>155.71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161869B">
            <w:pPr>
              <w:jc w:val="center"/>
            </w:pPr>
            <w:r>
              <w:rPr>
                <w:rFonts w:ascii="宋体" w:hAnsi="宋体" w:eastAsia="宋体"/>
                <w:sz w:val="16"/>
              </w:rPr>
              <w:t>210.35</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17E08FF">
            <w:pPr>
              <w:jc w:val="center"/>
            </w:pPr>
            <w:r>
              <w:rPr>
                <w:rFonts w:ascii="宋体" w:hAnsi="宋体" w:eastAsia="宋体"/>
                <w:sz w:val="16"/>
              </w:rPr>
              <w:t>155.71</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2670A36">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B7DB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BAF85DF">
            <w:pPr>
              <w:jc w:val="center"/>
            </w:pPr>
            <w:r>
              <w:rPr>
                <w:rFonts w:ascii="宋体" w:hAnsi="宋体" w:eastAsia="宋体"/>
                <w:sz w:val="16"/>
              </w:rPr>
              <w:t>—</w:t>
            </w:r>
          </w:p>
        </w:tc>
      </w:tr>
      <w:tr w14:paraId="74A0F63B">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2BC7261"/>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41367B">
            <w:pPr>
              <w:jc w:val="center"/>
            </w:pPr>
            <w:r>
              <w:rPr>
                <w:rFonts w:ascii="宋体" w:hAnsi="宋体" w:eastAsia="宋体"/>
                <w:sz w:val="16"/>
              </w:rPr>
              <w:t xml:space="preserve">  其他资金</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3612934">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065B86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9CB5E2A">
            <w:pPr>
              <w:jc w:val="center"/>
            </w:pPr>
            <w:r>
              <w:rPr>
                <w:rFonts w:ascii="宋体" w:hAnsi="宋体" w:eastAsia="宋体"/>
                <w:sz w:val="16"/>
              </w:rPr>
              <w:t>0.00</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3C94EBA">
            <w:pPr>
              <w:jc w:val="center"/>
            </w:pPr>
            <w:r>
              <w:rPr>
                <w:rFonts w:ascii="宋体" w:hAnsi="宋体" w:eastAsia="宋体"/>
                <w:sz w:val="16"/>
              </w:rPr>
              <w:t>—</w:t>
            </w:r>
          </w:p>
        </w:tc>
        <w:tc>
          <w:tcPr>
            <w:tcW w:w="1264"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5321E80">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01631DD">
            <w:pPr>
              <w:jc w:val="center"/>
            </w:pPr>
            <w:r>
              <w:rPr>
                <w:rFonts w:ascii="宋体" w:hAnsi="宋体" w:eastAsia="宋体"/>
                <w:sz w:val="16"/>
              </w:rPr>
              <w:t>—</w:t>
            </w:r>
          </w:p>
        </w:tc>
      </w:tr>
      <w:tr w14:paraId="5720C210">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9D8E5E2">
            <w:pPr>
              <w:jc w:val="center"/>
            </w:pPr>
            <w:r>
              <w:rPr>
                <w:rFonts w:ascii="宋体" w:hAnsi="宋体" w:eastAsia="宋体"/>
                <w:sz w:val="16"/>
              </w:rPr>
              <w:t>年度总体目标</w:t>
            </w:r>
          </w:p>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1F4D2F52">
            <w:pPr>
              <w:jc w:val="center"/>
            </w:pPr>
            <w:r>
              <w:rPr>
                <w:rFonts w:ascii="宋体" w:hAnsi="宋体" w:eastAsia="宋体"/>
                <w:sz w:val="16"/>
              </w:rPr>
              <w:t>预期目标</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5A08DFE">
            <w:pPr>
              <w:jc w:val="center"/>
            </w:pPr>
            <w:r>
              <w:rPr>
                <w:rFonts w:ascii="宋体" w:hAnsi="宋体" w:eastAsia="宋体"/>
                <w:sz w:val="16"/>
              </w:rPr>
              <w:t>实际完成情况</w:t>
            </w:r>
          </w:p>
        </w:tc>
      </w:tr>
      <w:tr w14:paraId="70B86949">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8A003FF"/>
        </w:tc>
        <w:tc>
          <w:tcPr>
            <w:tcW w:w="4424"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6E3C80BB">
            <w:pPr>
              <w:jc w:val="both"/>
            </w:pPr>
            <w:r>
              <w:rPr>
                <w:rFonts w:ascii="宋体" w:hAnsi="宋体" w:eastAsia="宋体"/>
                <w:sz w:val="16"/>
              </w:rPr>
              <w:t>新建阿克仓村村级组织活动场所300平方米，阔克苏村村级组织活动场所350平方米、提克卓勒村村级组织活动场所300平方米。加强村级组织活动场所的建设，是新的历史时期我国政治经济形势发展的客观要求，是推进社会主义民主发展、繁荣农村经济的重要举措。本项目建成将为特克斯县科克苏镇村级组织各工作部门人员提供良好的工作环境与办公条件,树立良好的行政机关形象,将大大提高村级组织的工作效率,方便群众办事,改善投资环境,对</w:t>
            </w:r>
            <w:r>
              <w:rPr>
                <w:rFonts w:hint="eastAsia" w:ascii="宋体" w:hAnsi="宋体"/>
                <w:sz w:val="16"/>
                <w:lang w:eastAsia="zh-CN"/>
              </w:rPr>
              <w:t>促进</w:t>
            </w:r>
            <w:r>
              <w:rPr>
                <w:rFonts w:ascii="宋体" w:hAnsi="宋体" w:eastAsia="宋体"/>
                <w:sz w:val="16"/>
              </w:rPr>
              <w:t>特克斯县的经济发展有积极的作用。</w:t>
            </w:r>
          </w:p>
        </w:tc>
        <w:tc>
          <w:tcPr>
            <w:tcW w:w="3792"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6D296A2D">
            <w:pPr>
              <w:jc w:val="both"/>
            </w:pPr>
            <w:r>
              <w:rPr>
                <w:rFonts w:ascii="宋体" w:hAnsi="宋体" w:eastAsia="宋体"/>
                <w:sz w:val="16"/>
              </w:rPr>
              <w:t>完成建设阿克仓村村级组织活动场所300平方米，阔克苏村村级组织活动场所350平方米、提克卓勒村村级组织活动场所300平方米。</w:t>
            </w:r>
          </w:p>
        </w:tc>
      </w:tr>
      <w:tr w14:paraId="5290485F">
        <w:tblPrEx>
          <w:tblCellMar>
            <w:top w:w="0" w:type="dxa"/>
            <w:left w:w="108" w:type="dxa"/>
            <w:bottom w:w="0" w:type="dxa"/>
            <w:right w:w="108" w:type="dxa"/>
          </w:tblCellMar>
        </w:tblPrEx>
        <w:tc>
          <w:tcPr>
            <w:tcW w:w="632" w:type="dxa"/>
            <w:tcBorders>
              <w:top w:val="single" w:color="auto" w:sz="10" w:space="0"/>
              <w:left w:val="single" w:color="auto" w:sz="10" w:space="0"/>
              <w:bottom w:val="single" w:color="auto" w:sz="10" w:space="0"/>
              <w:right w:val="single" w:color="auto" w:sz="10" w:space="0"/>
              <w:insideV w:val="single" w:sz="10" w:space="0"/>
            </w:tcBorders>
          </w:tcPr>
          <w:p w14:paraId="26C91382"/>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6165A">
            <w:pPr>
              <w:jc w:val="center"/>
            </w:pPr>
            <w:r>
              <w:rPr>
                <w:rFonts w:ascii="宋体" w:hAnsi="宋体" w:eastAsia="宋体"/>
                <w:sz w:val="16"/>
              </w:rPr>
              <w:t>一级指标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6A25E03">
            <w:pPr>
              <w:jc w:val="center"/>
            </w:pPr>
            <w:r>
              <w:rPr>
                <w:rFonts w:ascii="宋体" w:hAnsi="宋体" w:eastAsia="宋体"/>
                <w:sz w:val="16"/>
              </w:rPr>
              <w:t>二级指标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86C32C">
            <w:pPr>
              <w:jc w:val="center"/>
            </w:pPr>
            <w:r>
              <w:rPr>
                <w:rFonts w:ascii="宋体" w:hAnsi="宋体" w:eastAsia="宋体"/>
                <w:sz w:val="16"/>
              </w:rPr>
              <w:t>三级指标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A8E700">
            <w:pPr>
              <w:jc w:val="center"/>
            </w:pPr>
            <w:r>
              <w:rPr>
                <w:rFonts w:ascii="宋体" w:hAnsi="宋体" w:eastAsia="宋体"/>
                <w:sz w:val="16"/>
              </w:rPr>
              <w:t>权重</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BA97353">
            <w:pPr>
              <w:jc w:val="center"/>
            </w:pPr>
            <w:r>
              <w:rPr>
                <w:rFonts w:ascii="宋体" w:hAnsi="宋体" w:eastAsia="宋体"/>
                <w:sz w:val="16"/>
              </w:rPr>
              <w:t>目标值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D72ED7">
            <w:pPr>
              <w:jc w:val="center"/>
            </w:pPr>
            <w:r>
              <w:rPr>
                <w:rFonts w:ascii="宋体" w:hAnsi="宋体" w:eastAsia="宋体"/>
                <w:sz w:val="16"/>
              </w:rPr>
              <w:t>业绩值</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2BE19B">
            <w:pPr>
              <w:jc w:val="center"/>
            </w:pPr>
            <w:r>
              <w:rPr>
                <w:rFonts w:ascii="宋体" w:hAnsi="宋体" w:eastAsia="宋体"/>
                <w:sz w:val="16"/>
              </w:rPr>
              <w:t>完成率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7C11BA">
            <w:pPr>
              <w:jc w:val="center"/>
            </w:pPr>
            <w:r>
              <w:rPr>
                <w:rFonts w:ascii="宋体" w:hAnsi="宋体" w:eastAsia="宋体"/>
                <w:sz w:val="16"/>
              </w:rPr>
              <w:t>指标得分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F5A29B">
            <w:pPr>
              <w:jc w:val="center"/>
            </w:pPr>
            <w:r>
              <w:rPr>
                <w:rFonts w:ascii="宋体" w:hAnsi="宋体" w:eastAsia="宋体"/>
                <w:sz w:val="16"/>
              </w:rPr>
              <w:t>指标值设定依据</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770E7">
            <w:pPr>
              <w:jc w:val="center"/>
            </w:pPr>
            <w:r>
              <w:rPr>
                <w:rFonts w:ascii="宋体" w:hAnsi="宋体" w:eastAsia="宋体"/>
                <w:sz w:val="16"/>
              </w:rPr>
              <w:t>上年完成情况</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A5D90">
            <w:pPr>
              <w:jc w:val="center"/>
            </w:pPr>
            <w:r>
              <w:rPr>
                <w:rFonts w:ascii="宋体" w:hAnsi="宋体" w:eastAsia="宋体"/>
                <w:sz w:val="16"/>
              </w:rPr>
              <w:t>赋分规则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5247944">
            <w:pPr>
              <w:jc w:val="center"/>
            </w:pPr>
            <w:r>
              <w:rPr>
                <w:rFonts w:ascii="宋体" w:hAnsi="宋体" w:eastAsia="宋体"/>
                <w:sz w:val="16"/>
              </w:rPr>
              <w:t>佐证资料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6149028">
            <w:pPr>
              <w:jc w:val="center"/>
            </w:pPr>
            <w:r>
              <w:rPr>
                <w:rFonts w:ascii="宋体" w:hAnsi="宋体" w:eastAsia="宋体"/>
                <w:sz w:val="16"/>
              </w:rPr>
              <w:t>偏差原因分析及改进措施</w:t>
            </w:r>
          </w:p>
        </w:tc>
      </w:tr>
      <w:tr w14:paraId="625DD9EA">
        <w:tblPrEx>
          <w:tblCellMar>
            <w:top w:w="0" w:type="dxa"/>
            <w:left w:w="108" w:type="dxa"/>
            <w:bottom w:w="0" w:type="dxa"/>
            <w:right w:w="108" w:type="dxa"/>
          </w:tblCellMar>
        </w:tblPrEx>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BE2BB76">
            <w:pPr>
              <w:jc w:val="center"/>
            </w:pPr>
            <w:r>
              <w:rPr>
                <w:rFonts w:ascii="宋体" w:hAnsi="宋体" w:eastAsia="宋体"/>
                <w:sz w:val="16"/>
              </w:rPr>
              <w:t>年度绩效指标完成情况</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869AC68">
            <w:pPr>
              <w:jc w:val="center"/>
            </w:pPr>
            <w:r>
              <w:rPr>
                <w:rFonts w:ascii="宋体" w:hAnsi="宋体" w:eastAsia="宋体"/>
                <w:sz w:val="16"/>
              </w:rPr>
              <w:t>产出指标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77BB0FE">
            <w:pPr>
              <w:jc w:val="center"/>
            </w:pPr>
            <w:r>
              <w:rPr>
                <w:rFonts w:ascii="宋体" w:hAnsi="宋体" w:eastAsia="宋体"/>
                <w:sz w:val="16"/>
              </w:rPr>
              <w:t>数量指标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BFEC4E">
            <w:pPr>
              <w:jc w:val="center"/>
            </w:pPr>
            <w:r>
              <w:rPr>
                <w:rFonts w:ascii="宋体" w:hAnsi="宋体" w:eastAsia="宋体"/>
                <w:sz w:val="16"/>
              </w:rPr>
              <w:t>新建文体活动室</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B56D9C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477C10">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0AB19BF">
            <w:pPr>
              <w:jc w:val="center"/>
            </w:pPr>
            <w:r>
              <w:rPr>
                <w:rFonts w:ascii="宋体" w:hAnsi="宋体" w:eastAsia="宋体"/>
                <w:sz w:val="16"/>
              </w:rPr>
              <w:t>3个</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84E2F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13C4A7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5019225">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F4B25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B2647">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701D8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DF08344">
            <w:pPr>
              <w:jc w:val="center"/>
            </w:pPr>
          </w:p>
        </w:tc>
      </w:tr>
      <w:tr w14:paraId="663C1EAF">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2F1D05D"/>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549C68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04443C78"/>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40F0E7C">
            <w:pPr>
              <w:jc w:val="center"/>
            </w:pPr>
            <w:r>
              <w:rPr>
                <w:rFonts w:ascii="宋体" w:hAnsi="宋体" w:eastAsia="宋体"/>
                <w:sz w:val="16"/>
              </w:rPr>
              <w:t>村级活动场所面积</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95D22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67B4F4A">
            <w:pPr>
              <w:jc w:val="center"/>
            </w:pPr>
            <w:r>
              <w:rPr>
                <w:rFonts w:ascii="宋体" w:hAnsi="宋体" w:eastAsia="宋体"/>
                <w:sz w:val="16"/>
              </w:rPr>
              <w:t>=950平方米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4777F20">
            <w:pPr>
              <w:jc w:val="center"/>
            </w:pPr>
            <w:r>
              <w:rPr>
                <w:rFonts w:ascii="宋体" w:hAnsi="宋体" w:eastAsia="宋体"/>
                <w:sz w:val="16"/>
              </w:rPr>
              <w:t>950平方米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31546E1">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2830C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A45239">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D0298E">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9860D3">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080D6F">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A63AFC">
            <w:pPr>
              <w:jc w:val="center"/>
            </w:pPr>
          </w:p>
        </w:tc>
      </w:tr>
      <w:tr w14:paraId="2AFC8F75">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7078D2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56898439"/>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5A5493">
            <w:pPr>
              <w:jc w:val="center"/>
            </w:pPr>
            <w:r>
              <w:rPr>
                <w:rFonts w:ascii="宋体" w:hAnsi="宋体" w:eastAsia="宋体"/>
                <w:sz w:val="16"/>
              </w:rPr>
              <w:t>质量指标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23F941">
            <w:pPr>
              <w:jc w:val="center"/>
            </w:pPr>
            <w:r>
              <w:rPr>
                <w:rFonts w:ascii="宋体" w:hAnsi="宋体" w:eastAsia="宋体"/>
                <w:sz w:val="16"/>
              </w:rPr>
              <w:t>项目验收合格率（%）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DD154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7BEA5F0">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10C19A6">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CDA8C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7989F5">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F709B5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8D7F57">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10B19AE">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169258">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AB3312">
            <w:pPr>
              <w:jc w:val="center"/>
            </w:pPr>
          </w:p>
        </w:tc>
      </w:tr>
      <w:tr w14:paraId="63C8B2F8">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70994791"/>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2A489CDE"/>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5B51D37">
            <w:pPr>
              <w:jc w:val="center"/>
            </w:pPr>
            <w:r>
              <w:rPr>
                <w:rFonts w:ascii="宋体" w:hAnsi="宋体" w:eastAsia="宋体"/>
                <w:sz w:val="16"/>
              </w:rPr>
              <w:t>时效指标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FE873FA">
            <w:pPr>
              <w:jc w:val="center"/>
            </w:pPr>
            <w:r>
              <w:rPr>
                <w:rFonts w:ascii="宋体" w:hAnsi="宋体" w:eastAsia="宋体"/>
                <w:sz w:val="16"/>
              </w:rPr>
              <w:t>项目完成及时率（%）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9CE18C9">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754A322">
            <w:pPr>
              <w:jc w:val="center"/>
            </w:pPr>
            <w:r>
              <w:rPr>
                <w:rFonts w:ascii="宋体" w:hAnsi="宋体" w:eastAsia="宋体"/>
                <w:sz w:val="16"/>
              </w:rPr>
              <w:t>&gt;=100%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9F6098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9DBF65">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33A88FB">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E73A12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37E3C">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A41D45D">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CCB7CB5">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C1DA9A7">
            <w:pPr>
              <w:jc w:val="center"/>
            </w:pPr>
          </w:p>
        </w:tc>
      </w:tr>
      <w:tr w14:paraId="7B36F74C">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EE910E"/>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D4F5DF4"/>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B250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7E07375">
            <w:pPr>
              <w:jc w:val="center"/>
            </w:pPr>
            <w:r>
              <w:rPr>
                <w:rFonts w:ascii="宋体" w:hAnsi="宋体" w:eastAsia="宋体"/>
                <w:sz w:val="16"/>
              </w:rPr>
              <w:t>项目资金支付率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F9B1DC">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613421">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60FD85F">
            <w:pPr>
              <w:jc w:val="center"/>
            </w:pPr>
            <w:r>
              <w:rPr>
                <w:rFonts w:ascii="宋体" w:hAnsi="宋体" w:eastAsia="宋体"/>
                <w:sz w:val="16"/>
              </w:rPr>
              <w:t>74.02%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AE7DA0D">
            <w:pPr>
              <w:jc w:val="center"/>
            </w:pPr>
            <w:r>
              <w:rPr>
                <w:rFonts w:ascii="宋体" w:hAnsi="宋体" w:eastAsia="宋体"/>
                <w:sz w:val="16"/>
              </w:rPr>
              <w:t>77.92%</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28683DC">
            <w:pPr>
              <w:jc w:val="center"/>
            </w:pPr>
            <w:r>
              <w:rPr>
                <w:rFonts w:ascii="宋体" w:hAnsi="宋体" w:eastAsia="宋体"/>
                <w:sz w:val="16"/>
              </w:rPr>
              <w:t>7.79</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D3D2FBD">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1F16324">
            <w:pPr>
              <w:jc w:val="center"/>
            </w:pPr>
            <w:r>
              <w:rPr>
                <w:rFonts w:ascii="宋体" w:hAnsi="宋体" w:eastAsia="宋体"/>
                <w:sz w:val="16"/>
              </w:rPr>
              <w:t>=15%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443AA78">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8941934">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A0478CA">
            <w:pPr>
              <w:jc w:val="center"/>
            </w:pPr>
            <w:r>
              <w:rPr>
                <w:rFonts w:ascii="宋体" w:hAnsi="宋体" w:eastAsia="宋体"/>
                <w:sz w:val="16"/>
              </w:rPr>
              <w:t>项目资金拨付进度与工程进度不一致，主要是资金拨付滞后，所以未完成；</w:t>
            </w:r>
          </w:p>
        </w:tc>
      </w:tr>
      <w:tr w14:paraId="10520E5A">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4C7507FB"/>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D306D3E">
            <w:pPr>
              <w:jc w:val="center"/>
            </w:pPr>
            <w:r>
              <w:rPr>
                <w:rFonts w:ascii="宋体" w:hAnsi="宋体" w:eastAsia="宋体"/>
                <w:sz w:val="16"/>
              </w:rPr>
              <w:t>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C7755DF">
            <w:pPr>
              <w:jc w:val="center"/>
            </w:pPr>
            <w:r>
              <w:rPr>
                <w:rFonts w:ascii="宋体" w:hAnsi="宋体" w:eastAsia="宋体"/>
                <w:sz w:val="16"/>
              </w:rPr>
              <w:t>经济成本指标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0BE1F2">
            <w:pPr>
              <w:jc w:val="center"/>
            </w:pPr>
            <w:r>
              <w:rPr>
                <w:rFonts w:ascii="宋体" w:hAnsi="宋体" w:eastAsia="宋体"/>
                <w:sz w:val="16"/>
              </w:rPr>
              <w:t>项目成本</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6F1B6A">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0C8995">
            <w:pPr>
              <w:jc w:val="center"/>
            </w:pPr>
            <w:r>
              <w:rPr>
                <w:rFonts w:ascii="宋体" w:hAnsi="宋体" w:eastAsia="宋体"/>
                <w:sz w:val="16"/>
              </w:rPr>
              <w:t>&lt;=2200元/平方米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5462467">
            <w:pPr>
              <w:jc w:val="center"/>
            </w:pPr>
            <w:r>
              <w:rPr>
                <w:rFonts w:ascii="宋体" w:hAnsi="宋体" w:eastAsia="宋体"/>
                <w:sz w:val="16"/>
              </w:rPr>
              <w:t>1639元/平方米</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9BEFC45">
            <w:pPr>
              <w:jc w:val="center"/>
            </w:pPr>
            <w:r>
              <w:rPr>
                <w:rFonts w:ascii="宋体" w:hAnsi="宋体" w:eastAsia="宋体"/>
                <w:sz w:val="16"/>
              </w:rPr>
              <w:t>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AB8A9">
            <w:pPr>
              <w:jc w:val="center"/>
            </w:pPr>
            <w:r>
              <w:rPr>
                <w:rFonts w:ascii="宋体" w:hAnsi="宋体" w:eastAsia="宋体"/>
                <w:sz w:val="16"/>
              </w:rPr>
              <w:t>7.45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A5D360">
            <w:pPr>
              <w:jc w:val="center"/>
            </w:pPr>
            <w:r>
              <w:rPr>
                <w:rFonts w:ascii="宋体" w:hAnsi="宋体" w:eastAsia="宋体"/>
                <w:sz w:val="16"/>
              </w:rPr>
              <w:t>预算支出标准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C6FEFC4">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A40086">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2BE6C60">
            <w:pPr>
              <w:jc w:val="center"/>
            </w:pPr>
            <w:r>
              <w:rPr>
                <w:rFonts w:ascii="宋体" w:hAnsi="宋体" w:eastAsia="宋体"/>
                <w:sz w:val="16"/>
              </w:rPr>
              <w:t>原始凭证</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55934F1">
            <w:pPr>
              <w:jc w:val="center"/>
            </w:pPr>
            <w:r>
              <w:rPr>
                <w:rFonts w:ascii="宋体" w:hAnsi="宋体" w:eastAsia="宋体"/>
                <w:sz w:val="16"/>
              </w:rPr>
              <w:t>项目虽已验收，但资金拨付进度滞后，导致施工方自行垫付材料、设备、人员筹备等，已打乱成本计划；</w:t>
            </w:r>
          </w:p>
        </w:tc>
      </w:tr>
      <w:tr w14:paraId="50634903">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828EE59"/>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1565D9C5">
            <w:pPr>
              <w:jc w:val="center"/>
            </w:pPr>
            <w:r>
              <w:rPr>
                <w:rFonts w:ascii="宋体" w:hAnsi="宋体" w:eastAsia="宋体"/>
                <w:sz w:val="16"/>
              </w:rPr>
              <w:t>效益指标</w:t>
            </w:r>
          </w:p>
        </w:tc>
        <w:tc>
          <w:tcPr>
            <w:tcW w:w="632"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57CC628C">
            <w:pPr>
              <w:jc w:val="center"/>
            </w:pPr>
            <w:r>
              <w:rPr>
                <w:rFonts w:ascii="宋体" w:hAnsi="宋体" w:eastAsia="宋体"/>
                <w:sz w:val="16"/>
              </w:rPr>
              <w:t>社会效益指标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B654AD">
            <w:pPr>
              <w:jc w:val="center"/>
            </w:pPr>
            <w:r>
              <w:rPr>
                <w:rFonts w:ascii="宋体" w:hAnsi="宋体" w:eastAsia="宋体"/>
                <w:sz w:val="16"/>
              </w:rPr>
              <w:t>正常运转率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1EEFE60">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78BF4BC">
            <w:pPr>
              <w:jc w:val="center"/>
            </w:pPr>
            <w:r>
              <w:rPr>
                <w:rFonts w:ascii="宋体" w:hAnsi="宋体" w:eastAsia="宋体"/>
                <w:sz w:val="16"/>
              </w:rPr>
              <w:t>&gt;=98%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7F7E19D">
            <w:pPr>
              <w:jc w:val="center"/>
            </w:pPr>
            <w:r>
              <w:rPr>
                <w:rFonts w:ascii="宋体" w:hAnsi="宋体" w:eastAsia="宋体"/>
                <w:sz w:val="16"/>
              </w:rPr>
              <w:t>98%</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A1B1793">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EDC615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8B6722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E6A4D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5C2C51D4">
            <w:pPr>
              <w:jc w:val="center"/>
            </w:pPr>
            <w:r>
              <w:rPr>
                <w:rFonts w:ascii="宋体" w:hAnsi="宋体" w:eastAsia="宋体"/>
                <w:sz w:val="16"/>
              </w:rPr>
              <w:t>直接赋分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ACA9E4B">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9B7878">
            <w:pPr>
              <w:jc w:val="center"/>
            </w:pPr>
          </w:p>
        </w:tc>
      </w:tr>
      <w:tr w14:paraId="57245102">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50C4CAB"/>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68500046"/>
        </w:tc>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3682A896"/>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3E71E4B">
            <w:pPr>
              <w:jc w:val="center"/>
            </w:pPr>
            <w:r>
              <w:rPr>
                <w:rFonts w:ascii="宋体" w:hAnsi="宋体" w:eastAsia="宋体"/>
                <w:sz w:val="16"/>
              </w:rPr>
              <w:t>项目</w:t>
            </w:r>
            <w:r>
              <w:rPr>
                <w:rFonts w:hint="eastAsia" w:ascii="宋体" w:hAnsi="宋体"/>
                <w:sz w:val="16"/>
                <w:lang w:eastAsia="zh-CN"/>
              </w:rPr>
              <w:t>受益</w:t>
            </w:r>
            <w:r>
              <w:rPr>
                <w:rFonts w:ascii="宋体" w:hAnsi="宋体" w:eastAsia="宋体"/>
                <w:sz w:val="16"/>
              </w:rPr>
              <w:t>人数</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59271F6">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B013A8">
            <w:pPr>
              <w:jc w:val="center"/>
            </w:pPr>
            <w:r>
              <w:rPr>
                <w:rFonts w:ascii="宋体" w:hAnsi="宋体" w:eastAsia="宋体"/>
                <w:sz w:val="16"/>
              </w:rPr>
              <w:t>&gt;=300人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B5886F9">
            <w:pPr>
              <w:jc w:val="center"/>
            </w:pPr>
            <w:r>
              <w:rPr>
                <w:rFonts w:ascii="宋体" w:hAnsi="宋体" w:eastAsia="宋体"/>
                <w:sz w:val="16"/>
              </w:rPr>
              <w:t>300人</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40941C4">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F13A9C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70CD558">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75FC8F">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04C5554">
            <w:pPr>
              <w:jc w:val="center"/>
            </w:pPr>
            <w:r>
              <w:rPr>
                <w:rFonts w:ascii="宋体" w:hAnsi="宋体" w:eastAsia="宋体"/>
                <w:sz w:val="16"/>
              </w:rPr>
              <w:t>按照完成比例赋分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9CD5CC3">
            <w:pPr>
              <w:jc w:val="center"/>
            </w:pPr>
            <w:r>
              <w:rPr>
                <w:rFonts w:ascii="宋体" w:hAnsi="宋体" w:eastAsia="宋体"/>
                <w:sz w:val="16"/>
              </w:rPr>
              <w:t>说明材料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4525214C">
            <w:pPr>
              <w:jc w:val="center"/>
            </w:pPr>
          </w:p>
        </w:tc>
      </w:tr>
      <w:tr w14:paraId="67F19991">
        <w:tblPrEx>
          <w:tblCellMar>
            <w:top w:w="0" w:type="dxa"/>
            <w:left w:w="108" w:type="dxa"/>
            <w:bottom w:w="0" w:type="dxa"/>
            <w:right w:w="108" w:type="dxa"/>
          </w:tblCellMar>
        </w:tblPrEx>
        <w:tc>
          <w:tcPr>
            <w:tcW w:w="632" w:type="dxa"/>
            <w:vMerge w:val="continue"/>
            <w:tcBorders>
              <w:top w:val="single" w:color="auto" w:sz="10" w:space="0"/>
              <w:left w:val="single" w:color="auto" w:sz="10" w:space="0"/>
              <w:bottom w:val="single" w:color="auto" w:sz="10" w:space="0"/>
              <w:right w:val="single" w:color="auto" w:sz="10" w:space="0"/>
              <w:insideV w:val="single" w:sz="10" w:space="0"/>
            </w:tcBorders>
          </w:tcPr>
          <w:p w14:paraId="14B806D3"/>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504B11">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C51B7B2">
            <w:pPr>
              <w:jc w:val="center"/>
            </w:pPr>
            <w:r>
              <w:rPr>
                <w:rFonts w:ascii="宋体" w:hAnsi="宋体" w:eastAsia="宋体"/>
                <w:sz w:val="16"/>
              </w:rPr>
              <w:t>满意度指标</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BDF2CC">
            <w:pPr>
              <w:jc w:val="center"/>
            </w:pPr>
            <w:r>
              <w:rPr>
                <w:rFonts w:ascii="宋体" w:hAnsi="宋体" w:eastAsia="宋体"/>
                <w:sz w:val="16"/>
              </w:rPr>
              <w:t>辖区村民满意度</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D52BE17">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2429426">
            <w:pPr>
              <w:jc w:val="center"/>
            </w:pPr>
            <w:r>
              <w:rPr>
                <w:rFonts w:ascii="宋体" w:hAnsi="宋体" w:eastAsia="宋体"/>
                <w:sz w:val="16"/>
              </w:rPr>
              <w:t>&gt;=95%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F67BBCF">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30E66E82">
            <w:pPr>
              <w:jc w:val="center"/>
            </w:pPr>
            <w:r>
              <w:rPr>
                <w:rFonts w:ascii="宋体" w:hAnsi="宋体" w:eastAsia="宋体"/>
                <w:sz w:val="16"/>
              </w:rPr>
              <w:t>105%</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3361BB1">
            <w:pPr>
              <w:jc w:val="center"/>
            </w:pPr>
            <w:r>
              <w:rPr>
                <w:rFonts w:ascii="宋体" w:hAnsi="宋体" w:eastAsia="宋体"/>
                <w:sz w:val="16"/>
              </w:rPr>
              <w:t>10</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090B352C">
            <w:pPr>
              <w:jc w:val="center"/>
            </w:pPr>
            <w:r>
              <w:rPr>
                <w:rFonts w:ascii="宋体" w:hAnsi="宋体" w:eastAsia="宋体"/>
                <w:sz w:val="16"/>
              </w:rPr>
              <w:t>计划标准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2FB2671">
            <w:pPr>
              <w:jc w:val="center"/>
            </w:pPr>
            <w:r>
              <w:rPr>
                <w:rFonts w:ascii="宋体" w:hAnsi="宋体" w:eastAsia="宋体"/>
                <w:sz w:val="16"/>
              </w:rPr>
              <w:t>-</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13683037">
            <w:pPr>
              <w:jc w:val="center"/>
            </w:pPr>
            <w:r>
              <w:rPr>
                <w:rFonts w:ascii="宋体" w:hAnsi="宋体" w:eastAsia="宋体"/>
                <w:sz w:val="16"/>
              </w:rPr>
              <w:t>满意度赋分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858FC4A">
            <w:pPr>
              <w:jc w:val="center"/>
            </w:pPr>
            <w:r>
              <w:rPr>
                <w:rFonts w:ascii="宋体" w:hAnsi="宋体" w:eastAsia="宋体"/>
                <w:sz w:val="16"/>
              </w:rPr>
              <w:t>工作资料</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784F6302">
            <w:pPr>
              <w:jc w:val="center"/>
            </w:pPr>
            <w:r>
              <w:rPr>
                <w:rFonts w:ascii="宋体" w:hAnsi="宋体" w:eastAsia="宋体"/>
                <w:sz w:val="16"/>
              </w:rPr>
              <w:t>业绩值设置偏低，群众满意度高，后期项目将从严从高设置指标。</w:t>
            </w:r>
          </w:p>
        </w:tc>
      </w:tr>
      <w:tr w14:paraId="1C297CCF">
        <w:tblPrEx>
          <w:tblCellMar>
            <w:top w:w="0" w:type="dxa"/>
            <w:left w:w="108" w:type="dxa"/>
            <w:bottom w:w="0" w:type="dxa"/>
            <w:right w:w="108" w:type="dxa"/>
          </w:tblCellMar>
        </w:tblPrEx>
        <w:tc>
          <w:tcPr>
            <w:tcW w:w="252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2FB9C101">
            <w:pPr>
              <w:jc w:val="center"/>
            </w:pPr>
            <w:r>
              <w:rPr>
                <w:rFonts w:ascii="宋体" w:hAnsi="宋体" w:eastAsia="宋体"/>
                <w:sz w:val="16"/>
              </w:rPr>
              <w:t>总分</w:t>
            </w:r>
          </w:p>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20F3F83D">
            <w:pPr>
              <w:jc w:val="center"/>
            </w:pPr>
            <w:r>
              <w:rPr>
                <w:rFonts w:ascii="宋体" w:hAnsi="宋体" w:eastAsia="宋体"/>
                <w:sz w:val="16"/>
              </w:rPr>
              <w:t>100</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323230D"/>
        </w:tc>
        <w:tc>
          <w:tcPr>
            <w:tcW w:w="632" w:type="dxa"/>
            <w:tcBorders>
              <w:top w:val="single" w:color="auto" w:sz="10" w:space="0"/>
              <w:left w:val="single" w:color="auto" w:sz="10" w:space="0"/>
              <w:bottom w:val="single" w:color="auto" w:sz="10" w:space="0"/>
              <w:right w:val="single" w:color="auto" w:sz="10" w:space="0"/>
              <w:insideV w:val="single" w:sz="10" w:space="0"/>
            </w:tcBorders>
          </w:tcPr>
          <w:p w14:paraId="4C325B68"/>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5AC6D8F"/>
        </w:tc>
        <w:tc>
          <w:tcPr>
            <w:tcW w:w="632" w:type="dxa"/>
            <w:tcBorders>
              <w:top w:val="single" w:color="auto" w:sz="10" w:space="0"/>
              <w:left w:val="single" w:color="auto" w:sz="10" w:space="0"/>
              <w:bottom w:val="single" w:color="auto" w:sz="10" w:space="0"/>
              <w:right w:val="single" w:color="auto" w:sz="10" w:space="0"/>
              <w:insideV w:val="single" w:sz="10" w:space="0"/>
            </w:tcBorders>
            <w:vAlign w:val="center"/>
          </w:tcPr>
          <w:p w14:paraId="6D53C68E">
            <w:pPr>
              <w:jc w:val="center"/>
            </w:pPr>
            <w:r>
              <w:rPr>
                <w:rFonts w:ascii="宋体" w:hAnsi="宋体" w:eastAsia="宋体"/>
                <w:sz w:val="16"/>
              </w:rPr>
              <w:t>88.74分</w:t>
            </w:r>
          </w:p>
        </w:tc>
        <w:tc>
          <w:tcPr>
            <w:tcW w:w="632" w:type="dxa"/>
            <w:tcBorders>
              <w:top w:val="single" w:color="auto" w:sz="10" w:space="0"/>
              <w:left w:val="single" w:color="auto" w:sz="10" w:space="0"/>
              <w:bottom w:val="single" w:color="auto" w:sz="10" w:space="0"/>
              <w:right w:val="single" w:color="auto" w:sz="10" w:space="0"/>
              <w:insideV w:val="single" w:sz="10" w:space="0"/>
            </w:tcBorders>
          </w:tcPr>
          <w:p w14:paraId="7289773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D2958C3"/>
        </w:tc>
        <w:tc>
          <w:tcPr>
            <w:tcW w:w="632" w:type="dxa"/>
            <w:tcBorders>
              <w:top w:val="single" w:color="auto" w:sz="10" w:space="0"/>
              <w:left w:val="single" w:color="auto" w:sz="10" w:space="0"/>
              <w:bottom w:val="single" w:color="auto" w:sz="10" w:space="0"/>
              <w:right w:val="single" w:color="auto" w:sz="10" w:space="0"/>
              <w:insideV w:val="single" w:sz="10" w:space="0"/>
            </w:tcBorders>
          </w:tcPr>
          <w:p w14:paraId="1112941A"/>
        </w:tc>
        <w:tc>
          <w:tcPr>
            <w:tcW w:w="632" w:type="dxa"/>
            <w:tcBorders>
              <w:top w:val="single" w:color="auto" w:sz="10" w:space="0"/>
              <w:left w:val="single" w:color="auto" w:sz="10" w:space="0"/>
              <w:bottom w:val="single" w:color="auto" w:sz="10" w:space="0"/>
              <w:right w:val="single" w:color="auto" w:sz="10" w:space="0"/>
              <w:insideV w:val="single" w:sz="10" w:space="0"/>
            </w:tcBorders>
          </w:tcPr>
          <w:p w14:paraId="671FC3EE"/>
        </w:tc>
        <w:tc>
          <w:tcPr>
            <w:tcW w:w="632" w:type="dxa"/>
            <w:tcBorders>
              <w:top w:val="single" w:color="auto" w:sz="10" w:space="0"/>
              <w:left w:val="single" w:color="auto" w:sz="10" w:space="0"/>
              <w:bottom w:val="single" w:color="auto" w:sz="10" w:space="0"/>
              <w:right w:val="single" w:color="auto" w:sz="10" w:space="0"/>
              <w:insideV w:val="single" w:sz="10" w:space="0"/>
            </w:tcBorders>
          </w:tcPr>
          <w:p w14:paraId="563B4A1B"/>
        </w:tc>
      </w:tr>
    </w:tbl>
    <w:p w14:paraId="2B84B036">
      <w:r>
        <w:br w:type="page"/>
      </w:r>
    </w:p>
    <w:tbl>
      <w:tblPr>
        <w:tblStyle w:val="9"/>
        <w:tblW w:w="9256" w:type="dxa"/>
        <w:tblInd w:w="0" w:type="dxa"/>
        <w:tblLayout w:type="autofit"/>
        <w:tblCellMar>
          <w:top w:w="0" w:type="dxa"/>
          <w:left w:w="108" w:type="dxa"/>
          <w:bottom w:w="0" w:type="dxa"/>
          <w:right w:w="108" w:type="dxa"/>
        </w:tblCellMar>
      </w:tblPr>
      <w:tblGrid>
        <w:gridCol w:w="623"/>
        <w:gridCol w:w="610"/>
        <w:gridCol w:w="611"/>
        <w:gridCol w:w="624"/>
        <w:gridCol w:w="617"/>
        <w:gridCol w:w="776"/>
        <w:gridCol w:w="631"/>
        <w:gridCol w:w="696"/>
        <w:gridCol w:w="631"/>
        <w:gridCol w:w="611"/>
        <w:gridCol w:w="776"/>
        <w:gridCol w:w="612"/>
        <w:gridCol w:w="611"/>
        <w:gridCol w:w="827"/>
      </w:tblGrid>
      <w:tr w14:paraId="7A8E4AF6">
        <w:tblPrEx>
          <w:tblCellMar>
            <w:top w:w="0" w:type="dxa"/>
            <w:left w:w="108" w:type="dxa"/>
            <w:bottom w:w="0" w:type="dxa"/>
            <w:right w:w="108" w:type="dxa"/>
          </w:tblCellMar>
        </w:tblPrEx>
        <w:tc>
          <w:tcPr>
            <w:tcW w:w="9256" w:type="dxa"/>
            <w:gridSpan w:val="14"/>
            <w:vAlign w:val="center"/>
          </w:tcPr>
          <w:p w14:paraId="08913504">
            <w:pPr>
              <w:jc w:val="center"/>
            </w:pPr>
            <w:r>
              <w:rPr>
                <w:rFonts w:ascii="宋体" w:hAnsi="宋体" w:eastAsia="宋体"/>
                <w:sz w:val="24"/>
              </w:rPr>
              <w:t>项目支出绩效自评表</w:t>
            </w:r>
          </w:p>
        </w:tc>
      </w:tr>
      <w:tr w14:paraId="514B7440">
        <w:tblPrEx>
          <w:tblCellMar>
            <w:top w:w="0" w:type="dxa"/>
            <w:left w:w="108" w:type="dxa"/>
            <w:bottom w:w="0" w:type="dxa"/>
            <w:right w:w="108" w:type="dxa"/>
          </w:tblCellMar>
        </w:tblPrEx>
        <w:tc>
          <w:tcPr>
            <w:tcW w:w="9256" w:type="dxa"/>
            <w:gridSpan w:val="14"/>
            <w:vAlign w:val="center"/>
          </w:tcPr>
          <w:p w14:paraId="255119B2">
            <w:pPr>
              <w:jc w:val="center"/>
            </w:pPr>
            <w:r>
              <w:rPr>
                <w:rFonts w:ascii="宋体" w:hAnsi="宋体" w:eastAsia="宋体"/>
                <w:sz w:val="24"/>
              </w:rPr>
              <w:t>(2024年度)</w:t>
            </w:r>
          </w:p>
        </w:tc>
      </w:tr>
      <w:tr w14:paraId="0826F73E">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32BE0BA4">
            <w:pPr>
              <w:jc w:val="center"/>
            </w:pPr>
            <w:r>
              <w:rPr>
                <w:rFonts w:ascii="宋体" w:hAnsi="宋体" w:eastAsia="宋体"/>
                <w:sz w:val="16"/>
              </w:rPr>
              <w:t>项目名称</w:t>
            </w:r>
          </w:p>
        </w:tc>
        <w:tc>
          <w:tcPr>
            <w:tcW w:w="8633" w:type="dxa"/>
            <w:gridSpan w:val="13"/>
            <w:tcBorders>
              <w:top w:val="single" w:color="auto" w:sz="10" w:space="0"/>
              <w:left w:val="single" w:color="auto" w:sz="10" w:space="0"/>
              <w:bottom w:val="single" w:color="auto" w:sz="10" w:space="0"/>
              <w:right w:val="single" w:color="auto" w:sz="10" w:space="0"/>
              <w:insideV w:val="single" w:sz="10" w:space="0"/>
            </w:tcBorders>
            <w:vAlign w:val="center"/>
          </w:tcPr>
          <w:p w14:paraId="04A06618">
            <w:pPr>
              <w:jc w:val="center"/>
            </w:pPr>
            <w:r>
              <w:rPr>
                <w:rFonts w:ascii="宋体" w:hAnsi="宋体" w:eastAsia="宋体"/>
                <w:sz w:val="16"/>
              </w:rPr>
              <w:t>社区工作者补助（年初本级）</w:t>
            </w:r>
          </w:p>
        </w:tc>
      </w:tr>
      <w:tr w14:paraId="2B0FC785">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vAlign w:val="center"/>
          </w:tcPr>
          <w:p w14:paraId="0B00C575">
            <w:pPr>
              <w:jc w:val="center"/>
            </w:pPr>
            <w:r>
              <w:rPr>
                <w:rFonts w:ascii="宋体" w:hAnsi="宋体" w:eastAsia="宋体"/>
                <w:sz w:val="16"/>
              </w:rPr>
              <w:t>主管部门</w:t>
            </w:r>
          </w:p>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7D0EBD01">
            <w:pPr>
              <w:jc w:val="center"/>
            </w:pPr>
            <w:r>
              <w:rPr>
                <w:rFonts w:ascii="宋体" w:hAnsi="宋体" w:eastAsia="宋体"/>
                <w:sz w:val="16"/>
              </w:rPr>
              <w:t>特克斯县阔克苏乡人民政府</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8E4ED12">
            <w:pPr>
              <w:jc w:val="center"/>
              <w:rPr>
                <w:rFonts w:hint="eastAsia" w:eastAsia="宋体"/>
                <w:lang w:eastAsia="zh-CN"/>
              </w:rPr>
            </w:pPr>
            <w:r>
              <w:rPr>
                <w:rFonts w:ascii="宋体" w:hAnsi="宋体" w:eastAsia="宋体"/>
                <w:sz w:val="16"/>
              </w:rPr>
              <w:t>实施</w:t>
            </w:r>
            <w:r>
              <w:rPr>
                <w:rFonts w:hint="eastAsia" w:ascii="宋体" w:hAnsi="宋体"/>
                <w:sz w:val="16"/>
                <w:lang w:eastAsia="zh-CN"/>
              </w:rPr>
              <w:t>单位</w:t>
            </w:r>
          </w:p>
        </w:tc>
        <w:tc>
          <w:tcPr>
            <w:tcW w:w="3437" w:type="dxa"/>
            <w:gridSpan w:val="5"/>
            <w:tcBorders>
              <w:top w:val="single" w:color="auto" w:sz="10" w:space="0"/>
              <w:left w:val="single" w:color="auto" w:sz="10" w:space="0"/>
              <w:bottom w:val="single" w:color="auto" w:sz="10" w:space="0"/>
              <w:right w:val="single" w:color="auto" w:sz="10" w:space="0"/>
              <w:insideV w:val="single" w:sz="10" w:space="0"/>
            </w:tcBorders>
            <w:vAlign w:val="center"/>
          </w:tcPr>
          <w:p w14:paraId="2E6E41B9">
            <w:pPr>
              <w:jc w:val="center"/>
            </w:pPr>
            <w:r>
              <w:rPr>
                <w:rFonts w:ascii="宋体" w:hAnsi="宋体" w:eastAsia="宋体"/>
                <w:sz w:val="16"/>
              </w:rPr>
              <w:t>特克斯县阔克苏乡人民政府</w:t>
            </w:r>
          </w:p>
        </w:tc>
      </w:tr>
      <w:tr w14:paraId="5B65F6F6">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2E19BBE">
            <w:pPr>
              <w:jc w:val="center"/>
            </w:pPr>
            <w:r>
              <w:rPr>
                <w:rFonts w:ascii="宋体" w:hAnsi="宋体" w:eastAsia="宋体"/>
                <w:sz w:val="16"/>
              </w:rPr>
              <w:t>项目资金（万元）</w:t>
            </w:r>
          </w:p>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2CDB6B">
            <w:pPr>
              <w:jc w:val="center"/>
            </w:pPr>
          </w:p>
        </w:tc>
        <w:tc>
          <w:tcPr>
            <w:tcW w:w="12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0551D34">
            <w:pPr>
              <w:jc w:val="center"/>
            </w:pPr>
            <w:r>
              <w:rPr>
                <w:rFonts w:ascii="宋体" w:hAnsi="宋体" w:eastAsia="宋体"/>
                <w:sz w:val="16"/>
              </w:rPr>
              <w:t>年初预算数</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354C63A">
            <w:pPr>
              <w:jc w:val="center"/>
            </w:pPr>
            <w:r>
              <w:rPr>
                <w:rFonts w:ascii="宋体" w:hAnsi="宋体" w:eastAsia="宋体"/>
                <w:sz w:val="16"/>
              </w:rPr>
              <w:t>全年预算数</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D2541C5">
            <w:pPr>
              <w:jc w:val="center"/>
            </w:pPr>
            <w:r>
              <w:rPr>
                <w:rFonts w:ascii="宋体" w:hAnsi="宋体" w:eastAsia="宋体"/>
                <w:sz w:val="16"/>
              </w:rPr>
              <w:t>全年执行数</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58F274">
            <w:pPr>
              <w:jc w:val="center"/>
            </w:pPr>
            <w:r>
              <w:rPr>
                <w:rFonts w:ascii="宋体" w:hAnsi="宋体" w:eastAsia="宋体"/>
                <w:sz w:val="16"/>
              </w:rPr>
              <w:t>分值</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5EAE694">
            <w:pPr>
              <w:jc w:val="center"/>
            </w:pPr>
            <w:r>
              <w:rPr>
                <w:rFonts w:ascii="宋体" w:hAnsi="宋体" w:eastAsia="宋体"/>
                <w:sz w:val="16"/>
              </w:rPr>
              <w:t>执行率</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6343E5A4">
            <w:pPr>
              <w:jc w:val="center"/>
            </w:pPr>
            <w:r>
              <w:rPr>
                <w:rFonts w:ascii="宋体" w:hAnsi="宋体" w:eastAsia="宋体"/>
                <w:sz w:val="16"/>
              </w:rPr>
              <w:t>得分</w:t>
            </w:r>
          </w:p>
        </w:tc>
      </w:tr>
      <w:tr w14:paraId="6A424DCE">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18CB3D7"/>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9885862">
            <w:pPr>
              <w:jc w:val="center"/>
            </w:pPr>
            <w:r>
              <w:rPr>
                <w:rFonts w:ascii="宋体" w:hAnsi="宋体" w:eastAsia="宋体"/>
                <w:sz w:val="16"/>
              </w:rPr>
              <w:t>年度资金总额</w:t>
            </w:r>
          </w:p>
        </w:tc>
        <w:tc>
          <w:tcPr>
            <w:tcW w:w="12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367D748">
            <w:pPr>
              <w:jc w:val="center"/>
            </w:pPr>
            <w:r>
              <w:rPr>
                <w:rFonts w:ascii="宋体" w:hAnsi="宋体" w:eastAsia="宋体"/>
                <w:sz w:val="16"/>
              </w:rPr>
              <w:t>284.06</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82B122B">
            <w:pPr>
              <w:jc w:val="center"/>
            </w:pPr>
            <w:r>
              <w:rPr>
                <w:rFonts w:ascii="宋体" w:hAnsi="宋体" w:eastAsia="宋体"/>
                <w:sz w:val="16"/>
              </w:rPr>
              <w:t>212.85</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1E4F94A7">
            <w:pPr>
              <w:jc w:val="center"/>
            </w:pPr>
            <w:r>
              <w:rPr>
                <w:rFonts w:ascii="宋体" w:hAnsi="宋体" w:eastAsia="宋体"/>
                <w:sz w:val="16"/>
              </w:rPr>
              <w:t>212.85</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C042395">
            <w:pPr>
              <w:jc w:val="center"/>
            </w:pPr>
            <w:r>
              <w:rPr>
                <w:rFonts w:ascii="宋体" w:hAnsi="宋体" w:eastAsia="宋体"/>
                <w:sz w:val="16"/>
              </w:rPr>
              <w:t>10</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08BA746">
            <w:pPr>
              <w:jc w:val="center"/>
            </w:pPr>
            <w:r>
              <w:rPr>
                <w:rFonts w:ascii="宋体" w:hAnsi="宋体" w:eastAsia="宋体"/>
                <w:sz w:val="16"/>
              </w:rPr>
              <w:t>100.00%</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798E7DCF">
            <w:pPr>
              <w:jc w:val="center"/>
            </w:pPr>
            <w:r>
              <w:rPr>
                <w:rFonts w:ascii="宋体" w:hAnsi="宋体" w:eastAsia="宋体"/>
                <w:sz w:val="16"/>
              </w:rPr>
              <w:t>10.00</w:t>
            </w:r>
          </w:p>
        </w:tc>
      </w:tr>
      <w:tr w14:paraId="01E721D7">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7FF87282"/>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F9FB57A">
            <w:pPr>
              <w:jc w:val="center"/>
            </w:pPr>
            <w:r>
              <w:rPr>
                <w:rFonts w:ascii="宋体" w:hAnsi="宋体" w:eastAsia="宋体"/>
                <w:sz w:val="16"/>
              </w:rPr>
              <w:t>其中：当年财政拨款</w:t>
            </w:r>
          </w:p>
        </w:tc>
        <w:tc>
          <w:tcPr>
            <w:tcW w:w="12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023AA5F9">
            <w:pPr>
              <w:jc w:val="center"/>
            </w:pPr>
            <w:r>
              <w:rPr>
                <w:rFonts w:ascii="宋体" w:hAnsi="宋体" w:eastAsia="宋体"/>
                <w:sz w:val="16"/>
              </w:rPr>
              <w:t>284.06</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4494302">
            <w:pPr>
              <w:jc w:val="center"/>
            </w:pPr>
            <w:r>
              <w:rPr>
                <w:rFonts w:ascii="宋体" w:hAnsi="宋体" w:eastAsia="宋体"/>
                <w:sz w:val="16"/>
              </w:rPr>
              <w:t>212.85</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BCB9CEB">
            <w:pPr>
              <w:jc w:val="center"/>
            </w:pPr>
            <w:r>
              <w:rPr>
                <w:rFonts w:ascii="宋体" w:hAnsi="宋体" w:eastAsia="宋体"/>
                <w:sz w:val="16"/>
              </w:rPr>
              <w:t>212.85</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0D0CF94">
            <w:pPr>
              <w:jc w:val="center"/>
            </w:pPr>
            <w:r>
              <w:rPr>
                <w:rFonts w:ascii="宋体" w:hAnsi="宋体" w:eastAsia="宋体"/>
                <w:sz w:val="16"/>
              </w:rPr>
              <w:t>—</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926B26C">
            <w:pPr>
              <w:jc w:val="center"/>
            </w:pPr>
            <w:r>
              <w:rPr>
                <w:rFonts w:ascii="宋体" w:hAnsi="宋体" w:eastAsia="宋体"/>
                <w:sz w:val="16"/>
              </w:rPr>
              <w:t>—</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59327B12">
            <w:pPr>
              <w:jc w:val="center"/>
            </w:pPr>
            <w:r>
              <w:rPr>
                <w:rFonts w:ascii="宋体" w:hAnsi="宋体" w:eastAsia="宋体"/>
                <w:sz w:val="16"/>
              </w:rPr>
              <w:t>—</w:t>
            </w:r>
          </w:p>
        </w:tc>
      </w:tr>
      <w:tr w14:paraId="2CD8286D">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0E4A0201"/>
        </w:tc>
        <w:tc>
          <w:tcPr>
            <w:tcW w:w="122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5C2AC43D">
            <w:pPr>
              <w:jc w:val="center"/>
            </w:pPr>
            <w:r>
              <w:rPr>
                <w:rFonts w:ascii="宋体" w:hAnsi="宋体" w:eastAsia="宋体"/>
                <w:sz w:val="16"/>
              </w:rPr>
              <w:t xml:space="preserve">  其他资金</w:t>
            </w:r>
          </w:p>
        </w:tc>
        <w:tc>
          <w:tcPr>
            <w:tcW w:w="1241"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29C5DF38">
            <w:pPr>
              <w:jc w:val="center"/>
            </w:pPr>
            <w:r>
              <w:rPr>
                <w:rFonts w:ascii="宋体" w:hAnsi="宋体" w:eastAsia="宋体"/>
                <w:sz w:val="16"/>
              </w:rPr>
              <w:t>0.00</w:t>
            </w:r>
          </w:p>
        </w:tc>
        <w:tc>
          <w:tcPr>
            <w:tcW w:w="140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6B675AA9">
            <w:pPr>
              <w:jc w:val="center"/>
            </w:pPr>
            <w:r>
              <w:rPr>
                <w:rFonts w:ascii="宋体" w:hAnsi="宋体" w:eastAsia="宋体"/>
                <w:sz w:val="16"/>
              </w:rPr>
              <w:t>0.00</w:t>
            </w:r>
          </w:p>
        </w:tc>
        <w:tc>
          <w:tcPr>
            <w:tcW w:w="132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30D96E3E">
            <w:pPr>
              <w:jc w:val="center"/>
            </w:pPr>
            <w:r>
              <w:rPr>
                <w:rFonts w:ascii="宋体" w:hAnsi="宋体" w:eastAsia="宋体"/>
                <w:sz w:val="16"/>
              </w:rPr>
              <w:t>0.00</w:t>
            </w:r>
          </w:p>
        </w:tc>
        <w:tc>
          <w:tcPr>
            <w:tcW w:w="1387"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4AB8EC32">
            <w:pPr>
              <w:jc w:val="center"/>
            </w:pPr>
            <w:r>
              <w:rPr>
                <w:rFonts w:ascii="宋体" w:hAnsi="宋体" w:eastAsia="宋体"/>
                <w:sz w:val="16"/>
              </w:rPr>
              <w:t>—</w:t>
            </w:r>
          </w:p>
        </w:tc>
        <w:tc>
          <w:tcPr>
            <w:tcW w:w="1223" w:type="dxa"/>
            <w:gridSpan w:val="2"/>
            <w:tcBorders>
              <w:top w:val="single" w:color="auto" w:sz="10" w:space="0"/>
              <w:left w:val="single" w:color="auto" w:sz="10" w:space="0"/>
              <w:bottom w:val="single" w:color="auto" w:sz="10" w:space="0"/>
              <w:right w:val="single" w:color="auto" w:sz="10" w:space="0"/>
              <w:insideV w:val="single" w:sz="10" w:space="0"/>
            </w:tcBorders>
            <w:vAlign w:val="center"/>
          </w:tcPr>
          <w:p w14:paraId="7B0F7DF5">
            <w:pPr>
              <w:jc w:val="center"/>
            </w:pPr>
            <w:r>
              <w:rPr>
                <w:rFonts w:ascii="宋体" w:hAnsi="宋体" w:eastAsia="宋体"/>
                <w:sz w:val="16"/>
              </w:rPr>
              <w:t>—</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1AF32FAF">
            <w:pPr>
              <w:jc w:val="center"/>
            </w:pPr>
            <w:r>
              <w:rPr>
                <w:rFonts w:ascii="宋体" w:hAnsi="宋体" w:eastAsia="宋体"/>
                <w:sz w:val="16"/>
              </w:rPr>
              <w:t>—</w:t>
            </w:r>
          </w:p>
        </w:tc>
      </w:tr>
      <w:tr w14:paraId="5DB5E56F">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F746982">
            <w:pPr>
              <w:jc w:val="center"/>
            </w:pPr>
            <w:r>
              <w:rPr>
                <w:rFonts w:ascii="宋体" w:hAnsi="宋体" w:eastAsia="宋体"/>
                <w:sz w:val="16"/>
              </w:rPr>
              <w:t>年度总体目标</w:t>
            </w:r>
          </w:p>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2C044E66">
            <w:pPr>
              <w:jc w:val="center"/>
            </w:pPr>
            <w:r>
              <w:rPr>
                <w:rFonts w:ascii="宋体" w:hAnsi="宋体" w:eastAsia="宋体"/>
                <w:sz w:val="16"/>
              </w:rPr>
              <w:t>预期目标</w:t>
            </w:r>
          </w:p>
        </w:tc>
        <w:tc>
          <w:tcPr>
            <w:tcW w:w="406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7AE780BA">
            <w:pPr>
              <w:jc w:val="center"/>
            </w:pPr>
            <w:r>
              <w:rPr>
                <w:rFonts w:ascii="宋体" w:hAnsi="宋体" w:eastAsia="宋体"/>
                <w:sz w:val="16"/>
              </w:rPr>
              <w:t>实际完成情况</w:t>
            </w:r>
          </w:p>
        </w:tc>
      </w:tr>
      <w:tr w14:paraId="594442E3">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7BB2AF4"/>
        </w:tc>
        <w:tc>
          <w:tcPr>
            <w:tcW w:w="4565" w:type="dxa"/>
            <w:gridSpan w:val="7"/>
            <w:tcBorders>
              <w:top w:val="single" w:color="auto" w:sz="10" w:space="0"/>
              <w:left w:val="single" w:color="auto" w:sz="10" w:space="0"/>
              <w:bottom w:val="single" w:color="auto" w:sz="10" w:space="0"/>
              <w:right w:val="single" w:color="auto" w:sz="10" w:space="0"/>
              <w:insideV w:val="single" w:sz="10" w:space="0"/>
            </w:tcBorders>
            <w:vAlign w:val="center"/>
          </w:tcPr>
          <w:p w14:paraId="0BA31429">
            <w:pPr>
              <w:jc w:val="both"/>
            </w:pPr>
            <w:r>
              <w:rPr>
                <w:rFonts w:ascii="宋体" w:hAnsi="宋体" w:eastAsia="宋体"/>
                <w:sz w:val="16"/>
              </w:rPr>
              <w:t>特克斯县科克苏镇现有县级聘用社区工作者共计27人，发放284.06万元，发放次数12次。提高社区工作人员的工作积极性，减轻企业办社会的负担，保障机构正常运转，完成日常工作任务。实施社会治安综合治理规划，促进社会主义精神文明领导本乡工作，研究制定本乡经济、社会发展战略，确定工作目标；审议乡政府有关经济、社会发展规划、检查和监督规划的实行情况，带领本乡各族群众全面建成小康社会。发放人员，共计发放284.06万元，发放次数共计12次。</w:t>
            </w:r>
          </w:p>
        </w:tc>
        <w:tc>
          <w:tcPr>
            <w:tcW w:w="4068" w:type="dxa"/>
            <w:gridSpan w:val="6"/>
            <w:tcBorders>
              <w:top w:val="single" w:color="auto" w:sz="10" w:space="0"/>
              <w:left w:val="single" w:color="auto" w:sz="10" w:space="0"/>
              <w:bottom w:val="single" w:color="auto" w:sz="10" w:space="0"/>
              <w:right w:val="single" w:color="auto" w:sz="10" w:space="0"/>
              <w:insideV w:val="single" w:sz="10" w:space="0"/>
            </w:tcBorders>
            <w:vAlign w:val="center"/>
          </w:tcPr>
          <w:p w14:paraId="36FE505D">
            <w:pPr>
              <w:jc w:val="both"/>
            </w:pPr>
            <w:r>
              <w:rPr>
                <w:rFonts w:ascii="宋体" w:hAnsi="宋体" w:eastAsia="宋体"/>
                <w:sz w:val="16"/>
              </w:rPr>
              <w:t>完成社区工作人员的基本工资、津贴补贴、社保、住房公积金按时足额的发放，2024年共发放27名社区工作者的工资、社保、住房公积金212.85万元，通过补助发放，稳定社区干部队伍，确保干部能够长期稳定在社区开展各项工作，解决社区工作者后顾之忧，确保党委政策惠及基层，群众能够及时享受到党和国家各项惠民政策，不断提高社区工作者为民服务水平，</w:t>
            </w:r>
            <w:r>
              <w:rPr>
                <w:rFonts w:hint="eastAsia" w:ascii="宋体" w:hAnsi="宋体"/>
                <w:sz w:val="16"/>
                <w:lang w:eastAsia="zh-CN"/>
              </w:rPr>
              <w:t>全面</w:t>
            </w:r>
            <w:r>
              <w:rPr>
                <w:rFonts w:ascii="宋体" w:hAnsi="宋体" w:eastAsia="宋体"/>
                <w:sz w:val="16"/>
              </w:rPr>
              <w:t>提升人居生活幸福感。发放人员27人，共计发放212.85万元，发放次数共计9次。</w:t>
            </w:r>
          </w:p>
        </w:tc>
      </w:tr>
      <w:tr w14:paraId="23FC6DB7">
        <w:tblPrEx>
          <w:tblCellMar>
            <w:top w:w="0" w:type="dxa"/>
            <w:left w:w="108" w:type="dxa"/>
            <w:bottom w:w="0" w:type="dxa"/>
            <w:right w:w="108" w:type="dxa"/>
          </w:tblCellMar>
        </w:tblPrEx>
        <w:tc>
          <w:tcPr>
            <w:tcW w:w="623" w:type="dxa"/>
            <w:tcBorders>
              <w:top w:val="single" w:color="auto" w:sz="10" w:space="0"/>
              <w:left w:val="single" w:color="auto" w:sz="10" w:space="0"/>
              <w:bottom w:val="single" w:color="auto" w:sz="10" w:space="0"/>
              <w:right w:val="single" w:color="auto" w:sz="10" w:space="0"/>
              <w:insideV w:val="single" w:sz="10" w:space="0"/>
            </w:tcBorders>
          </w:tcPr>
          <w:p w14:paraId="28C85D0A"/>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25233D10">
            <w:pPr>
              <w:jc w:val="center"/>
            </w:pPr>
            <w:r>
              <w:rPr>
                <w:rFonts w:ascii="宋体" w:hAnsi="宋体" w:eastAsia="宋体"/>
                <w:sz w:val="16"/>
              </w:rPr>
              <w:t>一级指标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C969203">
            <w:pPr>
              <w:jc w:val="center"/>
            </w:pPr>
            <w:r>
              <w:rPr>
                <w:rFonts w:ascii="宋体" w:hAnsi="宋体" w:eastAsia="宋体"/>
                <w:sz w:val="16"/>
              </w:rPr>
              <w:t>二级指标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21F3ECAE">
            <w:pPr>
              <w:jc w:val="center"/>
            </w:pPr>
            <w:r>
              <w:rPr>
                <w:rFonts w:ascii="宋体" w:hAnsi="宋体" w:eastAsia="宋体"/>
                <w:sz w:val="16"/>
              </w:rPr>
              <w:t>三级指标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047B4EB4">
            <w:pPr>
              <w:jc w:val="center"/>
            </w:pPr>
            <w:r>
              <w:rPr>
                <w:rFonts w:ascii="宋体" w:hAnsi="宋体" w:eastAsia="宋体"/>
                <w:sz w:val="16"/>
              </w:rPr>
              <w:t>权重</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6F1CF8E">
            <w:pPr>
              <w:jc w:val="center"/>
            </w:pPr>
            <w:r>
              <w:rPr>
                <w:rFonts w:ascii="宋体" w:hAnsi="宋体" w:eastAsia="宋体"/>
                <w:sz w:val="16"/>
              </w:rPr>
              <w:t>目标值</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37CAB0C">
            <w:pPr>
              <w:jc w:val="center"/>
            </w:pPr>
            <w:r>
              <w:rPr>
                <w:rFonts w:ascii="宋体" w:hAnsi="宋体" w:eastAsia="宋体"/>
                <w:sz w:val="16"/>
              </w:rPr>
              <w:t>业绩值</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97CBB64">
            <w:pPr>
              <w:jc w:val="center"/>
            </w:pPr>
            <w:r>
              <w:rPr>
                <w:rFonts w:ascii="宋体" w:hAnsi="宋体" w:eastAsia="宋体"/>
                <w:sz w:val="16"/>
              </w:rPr>
              <w:t>完成率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11A88C68">
            <w:pPr>
              <w:jc w:val="center"/>
            </w:pPr>
            <w:r>
              <w:rPr>
                <w:rFonts w:ascii="宋体" w:hAnsi="宋体" w:eastAsia="宋体"/>
                <w:sz w:val="16"/>
              </w:rPr>
              <w:t>指标得分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0171AAF">
            <w:pPr>
              <w:jc w:val="center"/>
            </w:pPr>
            <w:r>
              <w:rPr>
                <w:rFonts w:ascii="宋体" w:hAnsi="宋体" w:eastAsia="宋体"/>
                <w:sz w:val="16"/>
              </w:rPr>
              <w:t>指标值设定依据</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A81C8D8">
            <w:pPr>
              <w:jc w:val="center"/>
            </w:pPr>
            <w:r>
              <w:rPr>
                <w:rFonts w:ascii="宋体" w:hAnsi="宋体" w:eastAsia="宋体"/>
                <w:sz w:val="16"/>
              </w:rPr>
              <w:t>上年完成情况</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0669D27">
            <w:pPr>
              <w:jc w:val="center"/>
            </w:pPr>
            <w:r>
              <w:rPr>
                <w:rFonts w:ascii="宋体" w:hAnsi="宋体" w:eastAsia="宋体"/>
                <w:sz w:val="16"/>
              </w:rPr>
              <w:t>赋分规则</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8665A53">
            <w:pPr>
              <w:jc w:val="center"/>
            </w:pPr>
            <w:r>
              <w:rPr>
                <w:rFonts w:ascii="宋体" w:hAnsi="宋体" w:eastAsia="宋体"/>
                <w:sz w:val="16"/>
              </w:rPr>
              <w:t>佐证资料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484F67AD">
            <w:pPr>
              <w:jc w:val="center"/>
            </w:pPr>
            <w:r>
              <w:rPr>
                <w:rFonts w:ascii="宋体" w:hAnsi="宋体" w:eastAsia="宋体"/>
                <w:sz w:val="16"/>
              </w:rPr>
              <w:t>偏差原因分析及改进措施</w:t>
            </w:r>
          </w:p>
        </w:tc>
      </w:tr>
      <w:tr w14:paraId="398FB28A">
        <w:tblPrEx>
          <w:tblCellMar>
            <w:top w:w="0" w:type="dxa"/>
            <w:left w:w="108" w:type="dxa"/>
            <w:bottom w:w="0" w:type="dxa"/>
            <w:right w:w="108" w:type="dxa"/>
          </w:tblCellMar>
        </w:tblPrEx>
        <w:tc>
          <w:tcPr>
            <w:tcW w:w="623"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7E86B6C6">
            <w:pPr>
              <w:jc w:val="center"/>
            </w:pPr>
            <w:r>
              <w:rPr>
                <w:rFonts w:ascii="宋体" w:hAnsi="宋体" w:eastAsia="宋体"/>
                <w:sz w:val="16"/>
              </w:rPr>
              <w:t>年度绩效指标完成情况</w:t>
            </w:r>
          </w:p>
        </w:tc>
        <w:tc>
          <w:tcPr>
            <w:tcW w:w="610"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6F6E0396">
            <w:pPr>
              <w:jc w:val="center"/>
            </w:pPr>
            <w:r>
              <w:rPr>
                <w:rFonts w:ascii="宋体" w:hAnsi="宋体" w:eastAsia="宋体"/>
                <w:sz w:val="16"/>
              </w:rPr>
              <w:t>产出指标</w:t>
            </w:r>
          </w:p>
        </w:tc>
        <w:tc>
          <w:tcPr>
            <w:tcW w:w="611" w:type="dxa"/>
            <w:vMerge w:val="restart"/>
            <w:tcBorders>
              <w:top w:val="single" w:color="auto" w:sz="10" w:space="0"/>
              <w:left w:val="single" w:color="auto" w:sz="10" w:space="0"/>
              <w:bottom w:val="single" w:color="auto" w:sz="10" w:space="0"/>
              <w:right w:val="single" w:color="auto" w:sz="10" w:space="0"/>
              <w:insideV w:val="single" w:sz="10" w:space="0"/>
            </w:tcBorders>
            <w:vAlign w:val="center"/>
          </w:tcPr>
          <w:p w14:paraId="3081E5D2">
            <w:pPr>
              <w:jc w:val="center"/>
            </w:pPr>
            <w:r>
              <w:rPr>
                <w:rFonts w:ascii="宋体" w:hAnsi="宋体" w:eastAsia="宋体"/>
                <w:sz w:val="16"/>
              </w:rPr>
              <w:t>数量指标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E7E341F">
            <w:pPr>
              <w:jc w:val="center"/>
            </w:pPr>
            <w:r>
              <w:rPr>
                <w:rFonts w:ascii="宋体" w:hAnsi="宋体" w:eastAsia="宋体"/>
                <w:sz w:val="16"/>
              </w:rPr>
              <w:t>马场社区工作者人数</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B511438">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1654F1B">
            <w:pPr>
              <w:jc w:val="center"/>
            </w:pPr>
            <w:r>
              <w:rPr>
                <w:rFonts w:ascii="宋体" w:hAnsi="宋体" w:eastAsia="宋体"/>
                <w:sz w:val="16"/>
              </w:rPr>
              <w:t>&gt;=27人</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71DBFDA">
            <w:pPr>
              <w:jc w:val="center"/>
            </w:pPr>
            <w:r>
              <w:rPr>
                <w:rFonts w:ascii="宋体" w:hAnsi="宋体" w:eastAsia="宋体"/>
                <w:sz w:val="16"/>
              </w:rPr>
              <w:t>27人</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5B06A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7AE73FF">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C830DDA">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E0A905C">
            <w:pPr>
              <w:jc w:val="center"/>
            </w:pPr>
            <w:r>
              <w:rPr>
                <w:rFonts w:ascii="宋体" w:hAnsi="宋体" w:eastAsia="宋体"/>
                <w:sz w:val="16"/>
              </w:rPr>
              <w:t>=30人</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3B300D0D">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33DC62F">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629B4C31">
            <w:pPr>
              <w:jc w:val="center"/>
            </w:pPr>
          </w:p>
        </w:tc>
      </w:tr>
      <w:tr w14:paraId="05CC3578">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91A0979"/>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66377002"/>
        </w:tc>
        <w:tc>
          <w:tcPr>
            <w:tcW w:w="611" w:type="dxa"/>
            <w:vMerge w:val="continue"/>
            <w:tcBorders>
              <w:top w:val="single" w:color="auto" w:sz="10" w:space="0"/>
              <w:left w:val="single" w:color="auto" w:sz="10" w:space="0"/>
              <w:bottom w:val="single" w:color="auto" w:sz="10" w:space="0"/>
              <w:right w:val="single" w:color="auto" w:sz="10" w:space="0"/>
              <w:insideV w:val="single" w:sz="10" w:space="0"/>
            </w:tcBorders>
          </w:tcPr>
          <w:p w14:paraId="675FB497"/>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4A55068B">
            <w:pPr>
              <w:jc w:val="center"/>
            </w:pPr>
            <w:r>
              <w:rPr>
                <w:rFonts w:ascii="宋体" w:hAnsi="宋体" w:eastAsia="宋体"/>
                <w:sz w:val="16"/>
              </w:rPr>
              <w:t>发放人员补贴次数</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0A9545F">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AD6E207">
            <w:pPr>
              <w:jc w:val="center"/>
            </w:pPr>
            <w:r>
              <w:rPr>
                <w:rFonts w:ascii="宋体" w:hAnsi="宋体" w:eastAsia="宋体"/>
                <w:sz w:val="16"/>
              </w:rPr>
              <w:t>=12次</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A861933">
            <w:pPr>
              <w:jc w:val="center"/>
            </w:pPr>
            <w:r>
              <w:rPr>
                <w:rFonts w:ascii="宋体" w:hAnsi="宋体" w:eastAsia="宋体"/>
                <w:sz w:val="16"/>
              </w:rPr>
              <w:t>9次</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48FEEA99">
            <w:pPr>
              <w:jc w:val="center"/>
            </w:pPr>
            <w:r>
              <w:rPr>
                <w:rFonts w:ascii="宋体" w:hAnsi="宋体" w:eastAsia="宋体"/>
                <w:sz w:val="16"/>
              </w:rPr>
              <w:t>75%</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95ACDFA">
            <w:pPr>
              <w:jc w:val="center"/>
            </w:pPr>
            <w:r>
              <w:rPr>
                <w:rFonts w:ascii="宋体" w:hAnsi="宋体" w:eastAsia="宋体"/>
                <w:sz w:val="16"/>
              </w:rPr>
              <w:t>7.5</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C2C664A">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4019489E">
            <w:pPr>
              <w:jc w:val="center"/>
            </w:pPr>
            <w:r>
              <w:rPr>
                <w:rFonts w:ascii="宋体" w:hAnsi="宋体" w:eastAsia="宋体"/>
                <w:sz w:val="16"/>
              </w:rPr>
              <w:t>=12次</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96EB96B">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2A74673">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4C21E5AD">
            <w:pPr>
              <w:jc w:val="center"/>
            </w:pPr>
            <w:r>
              <w:rPr>
                <w:rFonts w:ascii="宋体" w:hAnsi="宋体" w:eastAsia="宋体"/>
                <w:sz w:val="16"/>
              </w:rPr>
              <w:t>10月返回原管理</w:t>
            </w:r>
            <w:r>
              <w:rPr>
                <w:rFonts w:hint="eastAsia" w:ascii="宋体" w:hAnsi="宋体"/>
                <w:sz w:val="16"/>
                <w:lang w:eastAsia="zh-CN"/>
              </w:rPr>
              <w:t>单位</w:t>
            </w:r>
            <w:r>
              <w:rPr>
                <w:rFonts w:ascii="宋体" w:hAnsi="宋体" w:eastAsia="宋体"/>
                <w:sz w:val="16"/>
              </w:rPr>
              <w:t>，本</w:t>
            </w:r>
            <w:r>
              <w:rPr>
                <w:rFonts w:hint="eastAsia" w:ascii="宋体" w:hAnsi="宋体"/>
                <w:sz w:val="16"/>
                <w:lang w:eastAsia="zh-CN"/>
              </w:rPr>
              <w:t>单位</w:t>
            </w:r>
            <w:r>
              <w:rPr>
                <w:rFonts w:ascii="宋体" w:hAnsi="宋体" w:eastAsia="宋体"/>
                <w:sz w:val="16"/>
              </w:rPr>
              <w:t>不再支付工资及社保。</w:t>
            </w:r>
          </w:p>
        </w:tc>
      </w:tr>
      <w:tr w14:paraId="7BCC8DF3">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3C549051"/>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0AEEE586"/>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BA8923B">
            <w:pPr>
              <w:jc w:val="center"/>
            </w:pPr>
            <w:r>
              <w:rPr>
                <w:rFonts w:ascii="宋体" w:hAnsi="宋体" w:eastAsia="宋体"/>
                <w:sz w:val="16"/>
              </w:rPr>
              <w:t>质量指标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08C19D7D">
            <w:pPr>
              <w:jc w:val="center"/>
            </w:pPr>
            <w:r>
              <w:rPr>
                <w:rFonts w:ascii="宋体" w:hAnsi="宋体" w:eastAsia="宋体"/>
                <w:sz w:val="16"/>
              </w:rPr>
              <w:t>发放资金准确率</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7740739">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1875AE71">
            <w:pPr>
              <w:jc w:val="center"/>
            </w:pPr>
            <w:r>
              <w:rPr>
                <w:rFonts w:ascii="宋体" w:hAnsi="宋体" w:eastAsia="宋体"/>
                <w:sz w:val="16"/>
              </w:rPr>
              <w:t>&gt;=100%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E94D158">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537C21E">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09775177">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9C809F6">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75F3DB3D">
            <w:pPr>
              <w:jc w:val="center"/>
            </w:pPr>
            <w:r>
              <w:rPr>
                <w:rFonts w:ascii="宋体" w:hAnsi="宋体" w:eastAsia="宋体"/>
                <w:sz w:val="16"/>
              </w:rPr>
              <w:t>&gt;=90%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C2C805A">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03AD015">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31EE141E">
            <w:pPr>
              <w:jc w:val="center"/>
            </w:pPr>
          </w:p>
        </w:tc>
      </w:tr>
      <w:tr w14:paraId="073B8FE4">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15B87B88"/>
        </w:tc>
        <w:tc>
          <w:tcPr>
            <w:tcW w:w="610" w:type="dxa"/>
            <w:vMerge w:val="continue"/>
            <w:tcBorders>
              <w:top w:val="single" w:color="auto" w:sz="10" w:space="0"/>
              <w:left w:val="single" w:color="auto" w:sz="10" w:space="0"/>
              <w:bottom w:val="single" w:color="auto" w:sz="10" w:space="0"/>
              <w:right w:val="single" w:color="auto" w:sz="10" w:space="0"/>
              <w:insideV w:val="single" w:sz="10" w:space="0"/>
            </w:tcBorders>
          </w:tcPr>
          <w:p w14:paraId="58065809"/>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3559AB5">
            <w:pPr>
              <w:jc w:val="center"/>
            </w:pPr>
            <w:r>
              <w:rPr>
                <w:rFonts w:ascii="宋体" w:hAnsi="宋体" w:eastAsia="宋体"/>
                <w:sz w:val="16"/>
              </w:rPr>
              <w:t>时效指标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33002DE">
            <w:pPr>
              <w:jc w:val="center"/>
            </w:pPr>
            <w:r>
              <w:rPr>
                <w:rFonts w:ascii="宋体" w:hAnsi="宋体" w:eastAsia="宋体"/>
                <w:sz w:val="16"/>
              </w:rPr>
              <w:t>发放资金及时性</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2160947F">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5CEC86C">
            <w:pPr>
              <w:jc w:val="center"/>
            </w:pPr>
            <w:r>
              <w:rPr>
                <w:rFonts w:ascii="宋体" w:hAnsi="宋体" w:eastAsia="宋体"/>
                <w:sz w:val="16"/>
              </w:rPr>
              <w:t>&gt;=100%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540C83E9">
            <w:pPr>
              <w:jc w:val="center"/>
            </w:pPr>
            <w:r>
              <w:rPr>
                <w:rFonts w:ascii="宋体" w:hAnsi="宋体" w:eastAsia="宋体"/>
                <w:sz w:val="16"/>
              </w:rPr>
              <w:t>100%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64D86A6">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4B94C66">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113DC65F">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3CBEBF34">
            <w:pPr>
              <w:jc w:val="center"/>
            </w:pPr>
            <w:r>
              <w:rPr>
                <w:rFonts w:ascii="宋体" w:hAnsi="宋体" w:eastAsia="宋体"/>
                <w:sz w:val="16"/>
              </w:rPr>
              <w:t>&gt;=90%</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58903DC">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86D6D05">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0A4E1A85">
            <w:pPr>
              <w:jc w:val="center"/>
            </w:pPr>
          </w:p>
        </w:tc>
      </w:tr>
      <w:tr w14:paraId="54282EE5">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4CCD72EE"/>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5501630B">
            <w:pPr>
              <w:jc w:val="center"/>
            </w:pPr>
            <w:r>
              <w:rPr>
                <w:rFonts w:ascii="宋体" w:hAnsi="宋体" w:eastAsia="宋体"/>
                <w:sz w:val="16"/>
              </w:rPr>
              <w:t>成本指标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40E90782">
            <w:pPr>
              <w:jc w:val="center"/>
            </w:pPr>
            <w:r>
              <w:rPr>
                <w:rFonts w:ascii="宋体" w:hAnsi="宋体" w:eastAsia="宋体"/>
                <w:sz w:val="16"/>
              </w:rPr>
              <w:t>经济成本指标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50184083">
            <w:pPr>
              <w:jc w:val="center"/>
            </w:pPr>
            <w:r>
              <w:rPr>
                <w:rFonts w:ascii="宋体" w:hAnsi="宋体" w:eastAsia="宋体"/>
                <w:sz w:val="16"/>
              </w:rPr>
              <w:t>每次发放（补助）资金数</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7A8B1A8">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0E6ABC00">
            <w:pPr>
              <w:jc w:val="center"/>
            </w:pPr>
            <w:r>
              <w:rPr>
                <w:rFonts w:ascii="宋体" w:hAnsi="宋体" w:eastAsia="宋体"/>
                <w:sz w:val="16"/>
              </w:rPr>
              <w:t>&lt;=23.67万元</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70F7E61A">
            <w:pPr>
              <w:jc w:val="center"/>
            </w:pPr>
            <w:r>
              <w:rPr>
                <w:rFonts w:ascii="宋体" w:hAnsi="宋体" w:eastAsia="宋体"/>
                <w:sz w:val="16"/>
              </w:rPr>
              <w:t>23.65万元</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33DEC39F">
            <w:pPr>
              <w:jc w:val="center"/>
            </w:pPr>
            <w:r>
              <w:rPr>
                <w:rFonts w:ascii="宋体" w:hAnsi="宋体" w:eastAsia="宋体"/>
                <w:sz w:val="16"/>
              </w:rPr>
              <w:t>99.92%</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680D4302">
            <w:pPr>
              <w:jc w:val="center"/>
            </w:pPr>
            <w:r>
              <w:rPr>
                <w:rFonts w:ascii="宋体" w:hAnsi="宋体" w:eastAsia="宋体"/>
                <w:sz w:val="16"/>
              </w:rPr>
              <w:t>19.98</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682F4FB">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5009711">
            <w:pPr>
              <w:jc w:val="center"/>
            </w:pPr>
            <w:r>
              <w:rPr>
                <w:rFonts w:ascii="宋体" w:hAnsi="宋体" w:eastAsia="宋体"/>
                <w:sz w:val="16"/>
              </w:rPr>
              <w:t>&lt;=16.66万元</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428FA084">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26209941">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13BD147B">
            <w:pPr>
              <w:jc w:val="center"/>
            </w:pPr>
            <w:r>
              <w:rPr>
                <w:rFonts w:ascii="宋体" w:hAnsi="宋体" w:eastAsia="宋体"/>
                <w:sz w:val="16"/>
              </w:rPr>
              <w:t>5月一名工作人员去世，7月2名工作者退休，其他项目使用了该项目库指标3.9万元。</w:t>
            </w:r>
          </w:p>
        </w:tc>
      </w:tr>
      <w:tr w14:paraId="3388A82E">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2EA2542F"/>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32067811">
            <w:pPr>
              <w:jc w:val="center"/>
            </w:pPr>
            <w:r>
              <w:rPr>
                <w:rFonts w:ascii="宋体" w:hAnsi="宋体" w:eastAsia="宋体"/>
                <w:sz w:val="16"/>
              </w:rPr>
              <w:t>效益指标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0D53BBC5">
            <w:pPr>
              <w:jc w:val="center"/>
            </w:pPr>
            <w:r>
              <w:rPr>
                <w:rFonts w:ascii="宋体" w:hAnsi="宋体" w:eastAsia="宋体"/>
                <w:sz w:val="16"/>
              </w:rPr>
              <w:t>社会效益指标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7BDA8128">
            <w:pPr>
              <w:jc w:val="center"/>
            </w:pPr>
            <w:r>
              <w:rPr>
                <w:rFonts w:ascii="宋体" w:hAnsi="宋体" w:eastAsia="宋体"/>
                <w:sz w:val="16"/>
              </w:rPr>
              <w:t>提高工作人员工作积极性</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47B15634">
            <w:pPr>
              <w:jc w:val="center"/>
            </w:pPr>
            <w:r>
              <w:rPr>
                <w:rFonts w:ascii="宋体" w:hAnsi="宋体" w:eastAsia="宋体"/>
                <w:sz w:val="16"/>
              </w:rPr>
              <w:t>20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D84C913">
            <w:pPr>
              <w:jc w:val="center"/>
            </w:pPr>
            <w:r>
              <w:rPr>
                <w:rFonts w:ascii="宋体" w:hAnsi="宋体" w:eastAsia="宋体"/>
                <w:sz w:val="16"/>
              </w:rPr>
              <w:t>有所提升</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BF41B41">
            <w:pPr>
              <w:jc w:val="center"/>
            </w:pPr>
            <w:r>
              <w:rPr>
                <w:rFonts w:ascii="宋体" w:hAnsi="宋体" w:eastAsia="宋体"/>
                <w:sz w:val="16"/>
              </w:rPr>
              <w:t>有所提升</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032BAF53">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801E227">
            <w:pPr>
              <w:jc w:val="center"/>
            </w:pPr>
            <w:r>
              <w:rPr>
                <w:rFonts w:ascii="宋体" w:hAnsi="宋体" w:eastAsia="宋体"/>
                <w:sz w:val="16"/>
              </w:rPr>
              <w:t>20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7A2936DC">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250EA0EF">
            <w:pPr>
              <w:jc w:val="center"/>
            </w:pPr>
            <w:r>
              <w:rPr>
                <w:rFonts w:ascii="宋体" w:hAnsi="宋体" w:eastAsia="宋体"/>
                <w:sz w:val="16"/>
              </w:rPr>
              <w:t>有所提升</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2FB545E7">
            <w:pPr>
              <w:jc w:val="center"/>
            </w:pPr>
            <w:r>
              <w:rPr>
                <w:rFonts w:ascii="宋体" w:hAnsi="宋体" w:eastAsia="宋体"/>
                <w:sz w:val="16"/>
              </w:rPr>
              <w:t>按照完成比例赋分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641BA00F">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6E56C916">
            <w:pPr>
              <w:jc w:val="center"/>
            </w:pPr>
          </w:p>
        </w:tc>
      </w:tr>
      <w:tr w14:paraId="1EFDDC74">
        <w:tblPrEx>
          <w:tblCellMar>
            <w:top w:w="0" w:type="dxa"/>
            <w:left w:w="108" w:type="dxa"/>
            <w:bottom w:w="0" w:type="dxa"/>
            <w:right w:w="108" w:type="dxa"/>
          </w:tblCellMar>
        </w:tblPrEx>
        <w:tc>
          <w:tcPr>
            <w:tcW w:w="623" w:type="dxa"/>
            <w:vMerge w:val="continue"/>
            <w:tcBorders>
              <w:top w:val="single" w:color="auto" w:sz="10" w:space="0"/>
              <w:left w:val="single" w:color="auto" w:sz="10" w:space="0"/>
              <w:bottom w:val="single" w:color="auto" w:sz="10" w:space="0"/>
              <w:right w:val="single" w:color="auto" w:sz="10" w:space="0"/>
              <w:insideV w:val="single" w:sz="10" w:space="0"/>
            </w:tcBorders>
          </w:tcPr>
          <w:p w14:paraId="639ACBA2"/>
        </w:tc>
        <w:tc>
          <w:tcPr>
            <w:tcW w:w="610" w:type="dxa"/>
            <w:tcBorders>
              <w:top w:val="single" w:color="auto" w:sz="10" w:space="0"/>
              <w:left w:val="single" w:color="auto" w:sz="10" w:space="0"/>
              <w:bottom w:val="single" w:color="auto" w:sz="10" w:space="0"/>
              <w:right w:val="single" w:color="auto" w:sz="10" w:space="0"/>
              <w:insideV w:val="single" w:sz="10" w:space="0"/>
            </w:tcBorders>
            <w:vAlign w:val="center"/>
          </w:tcPr>
          <w:p w14:paraId="5E79626D">
            <w:pPr>
              <w:jc w:val="center"/>
            </w:pPr>
            <w:r>
              <w:rPr>
                <w:rFonts w:ascii="宋体" w:hAnsi="宋体" w:eastAsia="宋体"/>
                <w:sz w:val="16"/>
              </w:rPr>
              <w:t>满意度指标</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7CF79AB">
            <w:pPr>
              <w:jc w:val="center"/>
            </w:pPr>
            <w:r>
              <w:rPr>
                <w:rFonts w:ascii="宋体" w:hAnsi="宋体" w:eastAsia="宋体"/>
                <w:sz w:val="16"/>
              </w:rPr>
              <w:t>满意度指标</w:t>
            </w:r>
          </w:p>
        </w:tc>
        <w:tc>
          <w:tcPr>
            <w:tcW w:w="624" w:type="dxa"/>
            <w:tcBorders>
              <w:top w:val="single" w:color="auto" w:sz="10" w:space="0"/>
              <w:left w:val="single" w:color="auto" w:sz="10" w:space="0"/>
              <w:bottom w:val="single" w:color="auto" w:sz="10" w:space="0"/>
              <w:right w:val="single" w:color="auto" w:sz="10" w:space="0"/>
              <w:insideV w:val="single" w:sz="10" w:space="0"/>
            </w:tcBorders>
            <w:vAlign w:val="center"/>
          </w:tcPr>
          <w:p w14:paraId="6517716C">
            <w:pPr>
              <w:jc w:val="center"/>
            </w:pPr>
            <w:r>
              <w:rPr>
                <w:rFonts w:ascii="宋体" w:hAnsi="宋体" w:eastAsia="宋体"/>
                <w:sz w:val="16"/>
              </w:rPr>
              <w:t>工作人员满意度</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6EBA8D4D">
            <w:pPr>
              <w:jc w:val="center"/>
            </w:pPr>
            <w:r>
              <w:rPr>
                <w:rFonts w:ascii="宋体" w:hAnsi="宋体" w:eastAsia="宋体"/>
                <w:sz w:val="16"/>
              </w:rPr>
              <w:t>10</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5FB7883A">
            <w:pPr>
              <w:jc w:val="center"/>
            </w:pPr>
            <w:r>
              <w:rPr>
                <w:rFonts w:ascii="宋体" w:hAnsi="宋体" w:eastAsia="宋体"/>
                <w:sz w:val="16"/>
              </w:rPr>
              <w:t>&gt;=90%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31659B38">
            <w:pPr>
              <w:jc w:val="center"/>
            </w:pPr>
            <w:r>
              <w:rPr>
                <w:rFonts w:ascii="宋体" w:hAnsi="宋体" w:eastAsia="宋体"/>
                <w:sz w:val="16"/>
              </w:rPr>
              <w:t>90%</w:t>
            </w:r>
          </w:p>
        </w:tc>
        <w:tc>
          <w:tcPr>
            <w:tcW w:w="696" w:type="dxa"/>
            <w:tcBorders>
              <w:top w:val="single" w:color="auto" w:sz="10" w:space="0"/>
              <w:left w:val="single" w:color="auto" w:sz="10" w:space="0"/>
              <w:bottom w:val="single" w:color="auto" w:sz="10" w:space="0"/>
              <w:right w:val="single" w:color="auto" w:sz="10" w:space="0"/>
              <w:insideV w:val="single" w:sz="10" w:space="0"/>
            </w:tcBorders>
            <w:vAlign w:val="center"/>
          </w:tcPr>
          <w:p w14:paraId="73A3F0B8">
            <w:pPr>
              <w:jc w:val="center"/>
            </w:pPr>
            <w:r>
              <w:rPr>
                <w:rFonts w:ascii="宋体" w:hAnsi="宋体" w:eastAsia="宋体"/>
                <w:sz w:val="16"/>
              </w:rPr>
              <w:t>100%</w:t>
            </w:r>
          </w:p>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4CA21303">
            <w:pPr>
              <w:jc w:val="center"/>
            </w:pPr>
            <w:r>
              <w:rPr>
                <w:rFonts w:ascii="宋体" w:hAnsi="宋体" w:eastAsia="宋体"/>
                <w:sz w:val="16"/>
              </w:rPr>
              <w:t>10</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3AF37559">
            <w:pPr>
              <w:jc w:val="center"/>
            </w:pPr>
            <w:r>
              <w:rPr>
                <w:rFonts w:ascii="宋体" w:hAnsi="宋体" w:eastAsia="宋体"/>
                <w:sz w:val="16"/>
              </w:rPr>
              <w:t>计划标准</w:t>
            </w:r>
          </w:p>
        </w:tc>
        <w:tc>
          <w:tcPr>
            <w:tcW w:w="776" w:type="dxa"/>
            <w:tcBorders>
              <w:top w:val="single" w:color="auto" w:sz="10" w:space="0"/>
              <w:left w:val="single" w:color="auto" w:sz="10" w:space="0"/>
              <w:bottom w:val="single" w:color="auto" w:sz="10" w:space="0"/>
              <w:right w:val="single" w:color="auto" w:sz="10" w:space="0"/>
              <w:insideV w:val="single" w:sz="10" w:space="0"/>
            </w:tcBorders>
            <w:vAlign w:val="center"/>
          </w:tcPr>
          <w:p w14:paraId="6EE6C2DC">
            <w:pPr>
              <w:jc w:val="center"/>
            </w:pPr>
            <w:r>
              <w:rPr>
                <w:rFonts w:ascii="宋体" w:hAnsi="宋体" w:eastAsia="宋体"/>
                <w:sz w:val="16"/>
              </w:rPr>
              <w:t>&gt;=95%</w:t>
            </w:r>
          </w:p>
        </w:tc>
        <w:tc>
          <w:tcPr>
            <w:tcW w:w="612" w:type="dxa"/>
            <w:tcBorders>
              <w:top w:val="single" w:color="auto" w:sz="10" w:space="0"/>
              <w:left w:val="single" w:color="auto" w:sz="10" w:space="0"/>
              <w:bottom w:val="single" w:color="auto" w:sz="10" w:space="0"/>
              <w:right w:val="single" w:color="auto" w:sz="10" w:space="0"/>
              <w:insideV w:val="single" w:sz="10" w:space="0"/>
            </w:tcBorders>
            <w:vAlign w:val="center"/>
          </w:tcPr>
          <w:p w14:paraId="51D6B0B1">
            <w:pPr>
              <w:jc w:val="center"/>
            </w:pPr>
            <w:r>
              <w:rPr>
                <w:rFonts w:ascii="宋体" w:hAnsi="宋体" w:eastAsia="宋体"/>
                <w:sz w:val="16"/>
              </w:rPr>
              <w:t>满意度赋分</w:t>
            </w:r>
          </w:p>
        </w:tc>
        <w:tc>
          <w:tcPr>
            <w:tcW w:w="611" w:type="dxa"/>
            <w:tcBorders>
              <w:top w:val="single" w:color="auto" w:sz="10" w:space="0"/>
              <w:left w:val="single" w:color="auto" w:sz="10" w:space="0"/>
              <w:bottom w:val="single" w:color="auto" w:sz="10" w:space="0"/>
              <w:right w:val="single" w:color="auto" w:sz="10" w:space="0"/>
              <w:insideV w:val="single" w:sz="10" w:space="0"/>
            </w:tcBorders>
            <w:vAlign w:val="center"/>
          </w:tcPr>
          <w:p w14:paraId="5D483E2D">
            <w:pPr>
              <w:jc w:val="center"/>
            </w:pPr>
            <w:r>
              <w:rPr>
                <w:rFonts w:ascii="宋体" w:hAnsi="宋体" w:eastAsia="宋体"/>
                <w:sz w:val="16"/>
              </w:rPr>
              <w:t>工作资料</w:t>
            </w:r>
          </w:p>
        </w:tc>
        <w:tc>
          <w:tcPr>
            <w:tcW w:w="827" w:type="dxa"/>
            <w:tcBorders>
              <w:top w:val="single" w:color="auto" w:sz="10" w:space="0"/>
              <w:left w:val="single" w:color="auto" w:sz="10" w:space="0"/>
              <w:bottom w:val="single" w:color="auto" w:sz="10" w:space="0"/>
              <w:right w:val="single" w:color="auto" w:sz="10" w:space="0"/>
              <w:insideV w:val="single" w:sz="10" w:space="0"/>
            </w:tcBorders>
            <w:vAlign w:val="center"/>
          </w:tcPr>
          <w:p w14:paraId="123EC081">
            <w:pPr>
              <w:jc w:val="center"/>
            </w:pPr>
          </w:p>
        </w:tc>
      </w:tr>
      <w:tr w14:paraId="1C9414AB">
        <w:tblPrEx>
          <w:tblCellMar>
            <w:top w:w="0" w:type="dxa"/>
            <w:left w:w="108" w:type="dxa"/>
            <w:bottom w:w="0" w:type="dxa"/>
            <w:right w:w="108" w:type="dxa"/>
          </w:tblCellMar>
        </w:tblPrEx>
        <w:tc>
          <w:tcPr>
            <w:tcW w:w="2468" w:type="dxa"/>
            <w:gridSpan w:val="4"/>
            <w:tcBorders>
              <w:top w:val="single" w:color="auto" w:sz="10" w:space="0"/>
              <w:left w:val="single" w:color="auto" w:sz="10" w:space="0"/>
              <w:bottom w:val="single" w:color="auto" w:sz="10" w:space="0"/>
              <w:right w:val="single" w:color="auto" w:sz="10" w:space="0"/>
              <w:insideV w:val="single" w:sz="10" w:space="0"/>
            </w:tcBorders>
            <w:vAlign w:val="center"/>
          </w:tcPr>
          <w:p w14:paraId="69F590C5">
            <w:pPr>
              <w:jc w:val="center"/>
            </w:pPr>
            <w:r>
              <w:rPr>
                <w:rFonts w:ascii="宋体" w:hAnsi="宋体" w:eastAsia="宋体"/>
                <w:sz w:val="16"/>
              </w:rPr>
              <w:t>总分</w:t>
            </w:r>
          </w:p>
        </w:tc>
        <w:tc>
          <w:tcPr>
            <w:tcW w:w="617" w:type="dxa"/>
            <w:tcBorders>
              <w:top w:val="single" w:color="auto" w:sz="10" w:space="0"/>
              <w:left w:val="single" w:color="auto" w:sz="10" w:space="0"/>
              <w:bottom w:val="single" w:color="auto" w:sz="10" w:space="0"/>
              <w:right w:val="single" w:color="auto" w:sz="10" w:space="0"/>
              <w:insideV w:val="single" w:sz="10" w:space="0"/>
            </w:tcBorders>
            <w:vAlign w:val="center"/>
          </w:tcPr>
          <w:p w14:paraId="34427D83">
            <w:pPr>
              <w:jc w:val="center"/>
            </w:pPr>
            <w:r>
              <w:rPr>
                <w:rFonts w:ascii="宋体" w:hAnsi="宋体" w:eastAsia="宋体"/>
                <w:sz w:val="16"/>
              </w:rPr>
              <w:t>100</w:t>
            </w:r>
          </w:p>
        </w:tc>
        <w:tc>
          <w:tcPr>
            <w:tcW w:w="776" w:type="dxa"/>
            <w:tcBorders>
              <w:top w:val="single" w:color="auto" w:sz="10" w:space="0"/>
              <w:left w:val="single" w:color="auto" w:sz="10" w:space="0"/>
              <w:bottom w:val="single" w:color="auto" w:sz="10" w:space="0"/>
              <w:right w:val="single" w:color="auto" w:sz="10" w:space="0"/>
              <w:insideV w:val="single" w:sz="10" w:space="0"/>
            </w:tcBorders>
          </w:tcPr>
          <w:p w14:paraId="4A0DE095"/>
        </w:tc>
        <w:tc>
          <w:tcPr>
            <w:tcW w:w="631" w:type="dxa"/>
            <w:tcBorders>
              <w:top w:val="single" w:color="auto" w:sz="10" w:space="0"/>
              <w:left w:val="single" w:color="auto" w:sz="10" w:space="0"/>
              <w:bottom w:val="single" w:color="auto" w:sz="10" w:space="0"/>
              <w:right w:val="single" w:color="auto" w:sz="10" w:space="0"/>
              <w:insideV w:val="single" w:sz="10" w:space="0"/>
            </w:tcBorders>
          </w:tcPr>
          <w:p w14:paraId="0BA43089"/>
        </w:tc>
        <w:tc>
          <w:tcPr>
            <w:tcW w:w="696" w:type="dxa"/>
            <w:tcBorders>
              <w:top w:val="single" w:color="auto" w:sz="10" w:space="0"/>
              <w:left w:val="single" w:color="auto" w:sz="10" w:space="0"/>
              <w:bottom w:val="single" w:color="auto" w:sz="10" w:space="0"/>
              <w:right w:val="single" w:color="auto" w:sz="10" w:space="0"/>
              <w:insideV w:val="single" w:sz="10" w:space="0"/>
            </w:tcBorders>
          </w:tcPr>
          <w:p w14:paraId="3D3CB647"/>
        </w:tc>
        <w:tc>
          <w:tcPr>
            <w:tcW w:w="631" w:type="dxa"/>
            <w:tcBorders>
              <w:top w:val="single" w:color="auto" w:sz="10" w:space="0"/>
              <w:left w:val="single" w:color="auto" w:sz="10" w:space="0"/>
              <w:bottom w:val="single" w:color="auto" w:sz="10" w:space="0"/>
              <w:right w:val="single" w:color="auto" w:sz="10" w:space="0"/>
              <w:insideV w:val="single" w:sz="10" w:space="0"/>
            </w:tcBorders>
            <w:vAlign w:val="center"/>
          </w:tcPr>
          <w:p w14:paraId="290CA7DB">
            <w:pPr>
              <w:jc w:val="center"/>
            </w:pPr>
            <w:r>
              <w:rPr>
                <w:rFonts w:ascii="宋体" w:hAnsi="宋体" w:eastAsia="宋体"/>
                <w:sz w:val="16"/>
              </w:rPr>
              <w:t>97.48分</w:t>
            </w:r>
          </w:p>
        </w:tc>
        <w:tc>
          <w:tcPr>
            <w:tcW w:w="611" w:type="dxa"/>
            <w:tcBorders>
              <w:top w:val="single" w:color="auto" w:sz="10" w:space="0"/>
              <w:left w:val="single" w:color="auto" w:sz="10" w:space="0"/>
              <w:bottom w:val="single" w:color="auto" w:sz="10" w:space="0"/>
              <w:right w:val="single" w:color="auto" w:sz="10" w:space="0"/>
              <w:insideV w:val="single" w:sz="10" w:space="0"/>
            </w:tcBorders>
          </w:tcPr>
          <w:p w14:paraId="78E83563"/>
        </w:tc>
        <w:tc>
          <w:tcPr>
            <w:tcW w:w="776" w:type="dxa"/>
            <w:tcBorders>
              <w:top w:val="single" w:color="auto" w:sz="10" w:space="0"/>
              <w:left w:val="single" w:color="auto" w:sz="10" w:space="0"/>
              <w:bottom w:val="single" w:color="auto" w:sz="10" w:space="0"/>
              <w:right w:val="single" w:color="auto" w:sz="10" w:space="0"/>
              <w:insideV w:val="single" w:sz="10" w:space="0"/>
            </w:tcBorders>
          </w:tcPr>
          <w:p w14:paraId="0FF68B9E"/>
        </w:tc>
        <w:tc>
          <w:tcPr>
            <w:tcW w:w="612" w:type="dxa"/>
            <w:tcBorders>
              <w:top w:val="single" w:color="auto" w:sz="10" w:space="0"/>
              <w:left w:val="single" w:color="auto" w:sz="10" w:space="0"/>
              <w:bottom w:val="single" w:color="auto" w:sz="10" w:space="0"/>
              <w:right w:val="single" w:color="auto" w:sz="10" w:space="0"/>
              <w:insideV w:val="single" w:sz="10" w:space="0"/>
            </w:tcBorders>
          </w:tcPr>
          <w:p w14:paraId="712CB787"/>
        </w:tc>
        <w:tc>
          <w:tcPr>
            <w:tcW w:w="611" w:type="dxa"/>
            <w:tcBorders>
              <w:top w:val="single" w:color="auto" w:sz="10" w:space="0"/>
              <w:left w:val="single" w:color="auto" w:sz="10" w:space="0"/>
              <w:bottom w:val="single" w:color="auto" w:sz="10" w:space="0"/>
              <w:right w:val="single" w:color="auto" w:sz="10" w:space="0"/>
              <w:insideV w:val="single" w:sz="10" w:space="0"/>
            </w:tcBorders>
          </w:tcPr>
          <w:p w14:paraId="304DCC2F"/>
        </w:tc>
        <w:tc>
          <w:tcPr>
            <w:tcW w:w="827" w:type="dxa"/>
            <w:tcBorders>
              <w:top w:val="single" w:color="auto" w:sz="10" w:space="0"/>
              <w:left w:val="single" w:color="auto" w:sz="10" w:space="0"/>
              <w:bottom w:val="single" w:color="auto" w:sz="10" w:space="0"/>
              <w:right w:val="single" w:color="auto" w:sz="10" w:space="0"/>
              <w:insideV w:val="single" w:sz="10" w:space="0"/>
            </w:tcBorders>
          </w:tcPr>
          <w:p w14:paraId="77E31CC7"/>
        </w:tc>
      </w:tr>
    </w:tbl>
    <w:p w14:paraId="3C64C661">
      <w:r>
        <w:br w:type="page"/>
      </w:r>
    </w:p>
    <w:p w14:paraId="516C7C03">
      <w:pPr>
        <w:spacing w:line="640" w:lineRule="exact"/>
        <w:ind w:firstLine="640"/>
        <w:jc w:val="both"/>
        <w:outlineLvl w:val="2"/>
      </w:pPr>
      <w:r>
        <w:rPr>
          <w:rFonts w:ascii="黑体" w:hAnsi="黑体" w:eastAsia="黑体"/>
          <w:sz w:val="32"/>
        </w:rPr>
        <w:t>十二、其他需说明的事项</w:t>
      </w:r>
    </w:p>
    <w:p w14:paraId="4D57172B">
      <w:pPr>
        <w:spacing w:line="580" w:lineRule="exact"/>
        <w:ind w:firstLine="640"/>
        <w:jc w:val="both"/>
      </w:pPr>
      <w:r>
        <w:rPr>
          <w:rFonts w:ascii="仿宋_GB2312" w:hAnsi="仿宋_GB2312" w:eastAsia="仿宋_GB2312"/>
          <w:b w:val="0"/>
          <w:sz w:val="32"/>
        </w:rPr>
        <w:t>本</w:t>
      </w:r>
      <w:r>
        <w:rPr>
          <w:rFonts w:hint="eastAsia" w:ascii="仿宋_GB2312" w:hAnsi="仿宋_GB2312" w:eastAsia="仿宋_GB2312"/>
          <w:b w:val="0"/>
          <w:sz w:val="32"/>
          <w:lang w:eastAsia="zh-CN"/>
        </w:rPr>
        <w:t>单位</w:t>
      </w:r>
      <w:r>
        <w:rPr>
          <w:rFonts w:ascii="仿宋_GB2312" w:hAnsi="仿宋_GB2312" w:eastAsia="仿宋_GB2312"/>
          <w:b w:val="0"/>
          <w:sz w:val="32"/>
        </w:rPr>
        <w:t>无其他需说明的事项。</w:t>
      </w:r>
    </w:p>
    <w:p w14:paraId="31C50B63">
      <w:r>
        <w:br w:type="page"/>
      </w:r>
    </w:p>
    <w:p w14:paraId="0C0A2EA1">
      <w:pPr>
        <w:spacing w:line="240" w:lineRule="auto"/>
        <w:jc w:val="center"/>
        <w:outlineLvl w:val="1"/>
      </w:pPr>
      <w:r>
        <w:rPr>
          <w:rFonts w:ascii="黑体" w:hAnsi="黑体" w:eastAsia="黑体"/>
          <w:sz w:val="32"/>
        </w:rPr>
        <w:t>第三部分 专业名词解释</w:t>
      </w:r>
    </w:p>
    <w:p w14:paraId="2A95D15A">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14:paraId="1B662F43">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从主管部门和上级</w:t>
      </w:r>
      <w:r>
        <w:rPr>
          <w:rFonts w:hint="eastAsia" w:ascii="仿宋_GB2312" w:hAnsi="仿宋_GB2312" w:eastAsia="仿宋_GB2312"/>
          <w:b w:val="0"/>
          <w:sz w:val="32"/>
          <w:lang w:eastAsia="zh-CN"/>
        </w:rPr>
        <w:t>单位</w:t>
      </w:r>
      <w:r>
        <w:rPr>
          <w:rFonts w:ascii="仿宋_GB2312" w:hAnsi="仿宋_GB2312" w:eastAsia="仿宋_GB2312"/>
          <w:b w:val="0"/>
          <w:sz w:val="32"/>
        </w:rPr>
        <w:t>取得的非财政补助收入。</w:t>
      </w:r>
    </w:p>
    <w:p w14:paraId="2785B7F0">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开展专业业务活动及其辅助活动所取得的收入。</w:t>
      </w:r>
    </w:p>
    <w:p w14:paraId="4CC33A03">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在专业业务活动及其辅助活动之外开展非独立核算经营活动取得的收入。</w:t>
      </w:r>
    </w:p>
    <w:p w14:paraId="766632B3">
      <w:pPr>
        <w:spacing w:line="240" w:lineRule="auto"/>
        <w:ind w:firstLine="640"/>
        <w:jc w:val="both"/>
      </w:pPr>
      <w:r>
        <w:rPr>
          <w:rFonts w:ascii="仿宋_GB2312" w:hAnsi="仿宋_GB2312" w:eastAsia="仿宋_GB2312"/>
          <w:b/>
          <w:sz w:val="32"/>
        </w:rPr>
        <w:t>五、附属</w:t>
      </w:r>
      <w:r>
        <w:rPr>
          <w:rFonts w:hint="eastAsia" w:ascii="仿宋_GB2312" w:hAnsi="仿宋_GB2312" w:eastAsia="仿宋_GB2312"/>
          <w:b/>
          <w:sz w:val="32"/>
          <w:lang w:eastAsia="zh-CN"/>
        </w:rPr>
        <w:t>单位</w:t>
      </w:r>
      <w:r>
        <w:rPr>
          <w:rFonts w:ascii="仿宋_GB2312" w:hAnsi="仿宋_GB2312" w:eastAsia="仿宋_GB2312"/>
          <w:b/>
          <w:sz w:val="32"/>
        </w:rPr>
        <w:t>上缴收入：</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附属的独立核算</w:t>
      </w:r>
      <w:r>
        <w:rPr>
          <w:rFonts w:hint="eastAsia" w:ascii="仿宋_GB2312" w:hAnsi="仿宋_GB2312" w:eastAsia="仿宋_GB2312"/>
          <w:b w:val="0"/>
          <w:sz w:val="32"/>
          <w:lang w:eastAsia="zh-CN"/>
        </w:rPr>
        <w:t>单位</w:t>
      </w:r>
      <w:r>
        <w:rPr>
          <w:rFonts w:ascii="仿宋_GB2312" w:hAnsi="仿宋_GB2312" w:eastAsia="仿宋_GB2312"/>
          <w:b w:val="0"/>
          <w:sz w:val="32"/>
        </w:rPr>
        <w:t>按有关规定上缴的收入。</w:t>
      </w:r>
    </w:p>
    <w:p w14:paraId="48092787">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w:t>
      </w:r>
      <w:r>
        <w:rPr>
          <w:rFonts w:hint="eastAsia" w:ascii="仿宋_GB2312" w:hAnsi="仿宋_GB2312" w:eastAsia="仿宋_GB2312"/>
          <w:b w:val="0"/>
          <w:sz w:val="32"/>
          <w:lang w:eastAsia="zh-CN"/>
        </w:rPr>
        <w:t>单位</w:t>
      </w:r>
      <w:r>
        <w:rPr>
          <w:rFonts w:ascii="仿宋_GB2312" w:hAnsi="仿宋_GB2312" w:eastAsia="仿宋_GB2312"/>
          <w:b w:val="0"/>
          <w:sz w:val="32"/>
        </w:rPr>
        <w:t>上缴收入”等之外取得的收入。</w:t>
      </w:r>
    </w:p>
    <w:p w14:paraId="47BCA5EF">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14:paraId="4E8EEF83">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14:paraId="317A98E1">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14:paraId="7302D6F8">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14:paraId="56ED5FBD">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在专业业务活动及其辅助活动之外开展非独立核算经营活动发生的支出。</w:t>
      </w:r>
    </w:p>
    <w:p w14:paraId="16548816">
      <w:pPr>
        <w:spacing w:line="240" w:lineRule="auto"/>
        <w:ind w:firstLine="640"/>
        <w:jc w:val="both"/>
      </w:pPr>
      <w:r>
        <w:rPr>
          <w:rFonts w:ascii="仿宋_GB2312" w:hAnsi="仿宋_GB2312" w:eastAsia="仿宋_GB2312"/>
          <w:b/>
          <w:sz w:val="32"/>
        </w:rPr>
        <w:t>十二、对附属</w:t>
      </w:r>
      <w:r>
        <w:rPr>
          <w:rFonts w:hint="eastAsia" w:ascii="仿宋_GB2312" w:hAnsi="仿宋_GB2312" w:eastAsia="仿宋_GB2312"/>
          <w:b/>
          <w:sz w:val="32"/>
          <w:lang w:eastAsia="zh-CN"/>
        </w:rPr>
        <w:t>单位</w:t>
      </w:r>
      <w:r>
        <w:rPr>
          <w:rFonts w:ascii="仿宋_GB2312" w:hAnsi="仿宋_GB2312" w:eastAsia="仿宋_GB2312"/>
          <w:b/>
          <w:sz w:val="32"/>
        </w:rPr>
        <w:t>补助支出：</w:t>
      </w:r>
      <w:r>
        <w:rPr>
          <w:rFonts w:ascii="仿宋_GB2312" w:hAnsi="仿宋_GB2312" w:eastAsia="仿宋_GB2312"/>
          <w:b w:val="0"/>
          <w:sz w:val="32"/>
        </w:rPr>
        <w:t>指事业</w:t>
      </w:r>
      <w:r>
        <w:rPr>
          <w:rFonts w:hint="eastAsia" w:ascii="仿宋_GB2312" w:hAnsi="仿宋_GB2312" w:eastAsia="仿宋_GB2312"/>
          <w:b w:val="0"/>
          <w:sz w:val="32"/>
          <w:lang w:eastAsia="zh-CN"/>
        </w:rPr>
        <w:t>单位</w:t>
      </w:r>
      <w:r>
        <w:rPr>
          <w:rFonts w:ascii="仿宋_GB2312" w:hAnsi="仿宋_GB2312" w:eastAsia="仿宋_GB2312"/>
          <w:b w:val="0"/>
          <w:sz w:val="32"/>
        </w:rPr>
        <w:t>发生的用非财政预算资金对附属</w:t>
      </w:r>
      <w:r>
        <w:rPr>
          <w:rFonts w:hint="eastAsia" w:ascii="仿宋_GB2312" w:hAnsi="仿宋_GB2312" w:eastAsia="仿宋_GB2312"/>
          <w:b w:val="0"/>
          <w:sz w:val="32"/>
          <w:lang w:eastAsia="zh-CN"/>
        </w:rPr>
        <w:t>单位</w:t>
      </w:r>
      <w:r>
        <w:rPr>
          <w:rFonts w:ascii="仿宋_GB2312" w:hAnsi="仿宋_GB2312" w:eastAsia="仿宋_GB2312"/>
          <w:b w:val="0"/>
          <w:sz w:val="32"/>
        </w:rPr>
        <w:t>的补助支出。</w:t>
      </w:r>
    </w:p>
    <w:p w14:paraId="013AEB1C">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w:t>
      </w:r>
      <w:r>
        <w:rPr>
          <w:rFonts w:hint="eastAsia" w:ascii="仿宋_GB2312" w:hAnsi="仿宋_GB2312" w:eastAsia="仿宋_GB2312"/>
          <w:b w:val="0"/>
          <w:sz w:val="32"/>
          <w:lang w:eastAsia="zh-CN"/>
        </w:rPr>
        <w:t>单位</w:t>
      </w:r>
      <w:r>
        <w:rPr>
          <w:rFonts w:ascii="仿宋_GB2312" w:hAnsi="仿宋_GB2312" w:eastAsia="仿宋_GB2312"/>
          <w:b w:val="0"/>
          <w:sz w:val="32"/>
        </w:rPr>
        <w:t>公务出国（境）的国际旅费、国外城市间交通费、住宿费、伙食费、培训费、公杂费等支出；公务用车购置反映公务用车购置支出（含车辆购置税、牌照费）；公务用车运行维护费反映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按规定保留的公务用车燃料费、维修费、过路过桥费、保险费、安全奖励费用等支出；公务接待费反映</w:t>
      </w:r>
      <w:r>
        <w:rPr>
          <w:rFonts w:hint="eastAsia" w:ascii="仿宋_GB2312" w:hAnsi="仿宋_GB2312" w:eastAsia="仿宋_GB2312"/>
          <w:b w:val="0"/>
          <w:sz w:val="32"/>
          <w:lang w:eastAsia="zh-CN"/>
        </w:rPr>
        <w:t>单位</w:t>
      </w:r>
      <w:r>
        <w:rPr>
          <w:rFonts w:ascii="仿宋_GB2312" w:hAnsi="仿宋_GB2312" w:eastAsia="仿宋_GB2312"/>
          <w:b w:val="0"/>
          <w:sz w:val="32"/>
        </w:rPr>
        <w:t>按规定开支的各类公务接待（含外宾接待）费用。</w:t>
      </w:r>
    </w:p>
    <w:p w14:paraId="45915024">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w:t>
      </w:r>
      <w:r>
        <w:rPr>
          <w:rFonts w:hint="eastAsia" w:ascii="仿宋_GB2312" w:hAnsi="仿宋_GB2312" w:eastAsia="仿宋_GB2312"/>
          <w:b w:val="0"/>
          <w:sz w:val="32"/>
          <w:lang w:eastAsia="zh-CN"/>
        </w:rPr>
        <w:t>单位</w:t>
      </w:r>
      <w:r>
        <w:rPr>
          <w:rFonts w:ascii="仿宋_GB2312" w:hAnsi="仿宋_GB2312" w:eastAsia="仿宋_GB2312"/>
          <w:b w:val="0"/>
          <w:sz w:val="32"/>
        </w:rPr>
        <w:t>和参照公务员法管理的事业</w:t>
      </w:r>
      <w:r>
        <w:rPr>
          <w:rFonts w:hint="eastAsia" w:ascii="仿宋_GB2312" w:hAnsi="仿宋_GB2312" w:eastAsia="仿宋_GB2312"/>
          <w:b w:val="0"/>
          <w:sz w:val="32"/>
          <w:lang w:eastAsia="zh-CN"/>
        </w:rPr>
        <w:t>单位</w:t>
      </w:r>
      <w:r>
        <w:rPr>
          <w:rFonts w:ascii="仿宋_GB2312" w:hAnsi="仿宋_GB2312" w:eastAsia="仿宋_GB2312"/>
          <w:b w:val="0"/>
          <w:sz w:val="32"/>
        </w:rPr>
        <w:t>财政拨款基本支出中的公用经费支出。</w:t>
      </w:r>
    </w:p>
    <w:p w14:paraId="0B1F64AA">
      <w:r>
        <w:br w:type="page"/>
      </w:r>
    </w:p>
    <w:p w14:paraId="2BE8FC59">
      <w:pPr>
        <w:spacing w:line="240" w:lineRule="auto"/>
        <w:jc w:val="center"/>
        <w:outlineLvl w:val="1"/>
      </w:pPr>
      <w:r>
        <w:rPr>
          <w:rFonts w:ascii="黑体" w:hAnsi="黑体" w:eastAsia="黑体"/>
          <w:sz w:val="32"/>
        </w:rPr>
        <w:t>第四部分 部门决算报表（见附表）</w:t>
      </w:r>
    </w:p>
    <w:p w14:paraId="73E98E81">
      <w:pPr>
        <w:spacing w:line="240" w:lineRule="auto"/>
        <w:ind w:firstLine="640"/>
        <w:jc w:val="both"/>
      </w:pPr>
      <w:r>
        <w:rPr>
          <w:rFonts w:ascii="仿宋_GB2312" w:hAnsi="仿宋_GB2312" w:eastAsia="仿宋_GB2312"/>
          <w:b w:val="0"/>
          <w:sz w:val="32"/>
        </w:rPr>
        <w:t>一、《收入支出决算总表》</w:t>
      </w:r>
    </w:p>
    <w:p w14:paraId="7D6A32DA">
      <w:pPr>
        <w:spacing w:line="240" w:lineRule="auto"/>
        <w:ind w:firstLine="640"/>
        <w:jc w:val="both"/>
      </w:pPr>
      <w:r>
        <w:rPr>
          <w:rFonts w:ascii="仿宋_GB2312" w:hAnsi="仿宋_GB2312" w:eastAsia="仿宋_GB2312"/>
          <w:b w:val="0"/>
          <w:sz w:val="32"/>
        </w:rPr>
        <w:t>二、《收入决算表》</w:t>
      </w:r>
    </w:p>
    <w:p w14:paraId="4BF7A4EB">
      <w:pPr>
        <w:spacing w:line="240" w:lineRule="auto"/>
        <w:ind w:firstLine="640"/>
        <w:jc w:val="both"/>
      </w:pPr>
      <w:r>
        <w:rPr>
          <w:rFonts w:ascii="仿宋_GB2312" w:hAnsi="仿宋_GB2312" w:eastAsia="仿宋_GB2312"/>
          <w:b w:val="0"/>
          <w:sz w:val="32"/>
        </w:rPr>
        <w:t>三、《支出决算表》</w:t>
      </w:r>
    </w:p>
    <w:p w14:paraId="6ACC6916">
      <w:pPr>
        <w:spacing w:line="240" w:lineRule="auto"/>
        <w:ind w:firstLine="640"/>
        <w:jc w:val="both"/>
      </w:pPr>
      <w:r>
        <w:rPr>
          <w:rFonts w:ascii="仿宋_GB2312" w:hAnsi="仿宋_GB2312" w:eastAsia="仿宋_GB2312"/>
          <w:b w:val="0"/>
          <w:sz w:val="32"/>
        </w:rPr>
        <w:t>四、《财政拨款收入支出决算总表》</w:t>
      </w:r>
    </w:p>
    <w:p w14:paraId="726445AC">
      <w:pPr>
        <w:spacing w:line="240" w:lineRule="auto"/>
        <w:ind w:firstLine="640"/>
        <w:jc w:val="both"/>
      </w:pPr>
      <w:r>
        <w:rPr>
          <w:rFonts w:ascii="仿宋_GB2312" w:hAnsi="仿宋_GB2312" w:eastAsia="仿宋_GB2312"/>
          <w:b w:val="0"/>
          <w:sz w:val="32"/>
        </w:rPr>
        <w:t>五、《一般公共预算财政拨款支出决算表》</w:t>
      </w:r>
    </w:p>
    <w:p w14:paraId="5275734F">
      <w:pPr>
        <w:spacing w:line="240" w:lineRule="auto"/>
        <w:ind w:firstLine="640"/>
        <w:jc w:val="both"/>
      </w:pPr>
      <w:r>
        <w:rPr>
          <w:rFonts w:ascii="仿宋_GB2312" w:hAnsi="仿宋_GB2312" w:eastAsia="仿宋_GB2312"/>
          <w:b w:val="0"/>
          <w:sz w:val="32"/>
        </w:rPr>
        <w:t>六、《一般公共预算财政拨款基本支出决算表》</w:t>
      </w:r>
    </w:p>
    <w:p w14:paraId="49A6EB4E">
      <w:pPr>
        <w:spacing w:line="240" w:lineRule="auto"/>
        <w:ind w:firstLine="640"/>
        <w:jc w:val="both"/>
      </w:pPr>
      <w:r>
        <w:rPr>
          <w:rFonts w:ascii="仿宋_GB2312" w:hAnsi="仿宋_GB2312" w:eastAsia="仿宋_GB2312"/>
          <w:b w:val="0"/>
          <w:sz w:val="32"/>
        </w:rPr>
        <w:t>七、《政府性基金预算财政拨款收入支出决算表》</w:t>
      </w:r>
    </w:p>
    <w:p w14:paraId="3D0B965F">
      <w:pPr>
        <w:spacing w:line="240" w:lineRule="auto"/>
        <w:ind w:firstLine="640"/>
        <w:jc w:val="both"/>
      </w:pPr>
      <w:r>
        <w:rPr>
          <w:rFonts w:ascii="仿宋_GB2312" w:hAnsi="仿宋_GB2312" w:eastAsia="仿宋_GB2312"/>
          <w:b w:val="0"/>
          <w:sz w:val="32"/>
        </w:rPr>
        <w:t>八、《国有资本经营预算财政拨款收入支出决算表》</w:t>
      </w:r>
    </w:p>
    <w:p w14:paraId="2B46B424">
      <w:pPr>
        <w:spacing w:line="240" w:lineRule="auto"/>
        <w:ind w:firstLine="640"/>
        <w:jc w:val="both"/>
      </w:pPr>
      <w:r>
        <w:rPr>
          <w:rFonts w:ascii="仿宋_GB2312" w:hAnsi="仿宋_GB2312" w:eastAsia="仿宋_GB2312"/>
          <w:b w:val="0"/>
          <w:sz w:val="32"/>
        </w:rPr>
        <w:t>九、《财政拨款“三公”经费支出决算表》</w:t>
      </w:r>
    </w:p>
    <w:p w14:paraId="56AB4937">
      <w:pPr>
        <w:spacing w:line="240" w:lineRule="auto"/>
        <w:ind w:firstLine="640"/>
        <w:jc w:val="both"/>
      </w:pPr>
    </w:p>
    <w:p w14:paraId="4E56ADB6">
      <w:pPr>
        <w:spacing w:line="240" w:lineRule="auto"/>
        <w:ind w:firstLine="640"/>
        <w:jc w:val="both"/>
      </w:pPr>
    </w:p>
    <w:p w14:paraId="4F02402C">
      <w:pPr>
        <w:spacing w:line="240" w:lineRule="auto"/>
        <w:ind w:firstLine="640"/>
        <w:jc w:val="both"/>
      </w:pPr>
    </w:p>
    <w:p w14:paraId="6864DE6F">
      <w:pPr>
        <w:spacing w:line="240" w:lineRule="auto"/>
        <w:ind w:firstLine="640"/>
        <w:jc w:val="both"/>
      </w:pPr>
    </w:p>
    <w:p w14:paraId="0385C43E">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7"/>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31828"/>
    <w:rsid w:val="1E086ACE"/>
    <w:rsid w:val="1E4B5CA5"/>
    <w:rsid w:val="1EAA4A5F"/>
    <w:rsid w:val="1F587A0B"/>
    <w:rsid w:val="202754CF"/>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700EF6"/>
    <w:rsid w:val="46901EEE"/>
    <w:rsid w:val="469C74D2"/>
    <w:rsid w:val="46A41096"/>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2.xml><?xml version="1.0" encoding="utf-8"?>
<contractReview xmlns="http://schemas.wps.cn/vas-ai-hub/contract-review">
  <reviewItems/>
  <config/>
</contractReview>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b398bf3-953d-44c5-88e7-f9f29c815ace}">
  <ds:schemaRefs/>
</ds:datastoreItem>
</file>

<file path=docProps/app.xml><?xml version="1.0" encoding="utf-8"?>
<Properties xmlns="http://schemas.openxmlformats.org/officeDocument/2006/extended-properties" xmlns:vt="http://schemas.openxmlformats.org/officeDocument/2006/docPropsVTypes">
  <Template>Normal.dotm</Template>
  <Pages>39</Pages>
  <Words>10672</Words>
  <Characters>11911</Characters>
  <Lines>0</Lines>
  <Paragraphs>0</Paragraphs>
  <TotalTime>3</TotalTime>
  <ScaleCrop>false</ScaleCrop>
  <LinksUpToDate>false</LinksUpToDate>
  <CharactersWithSpaces>11919</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蹁跹</cp:lastModifiedBy>
  <cp:lastPrinted>2024-07-22T11:58:00Z</cp:lastPrinted>
  <dcterms:modified xsi:type="dcterms:W3CDTF">2025-08-28T09:40:56Z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B858A68E913346F885B5BC17D4DBEB06_13</vt:lpwstr>
  </property>
  <property fmtid="{D5CDD505-2E9C-101B-9397-08002B2CF9AE}" pid="4" name="KSOTemplateDocerSaveRecord">
    <vt:lpwstr>eyJoZGlkIjoiN2E1ZDY0MDI5MTE3YjM0ZGMyMzg4N2EwMDI4ZjJiM2YiLCJ1c2VySWQiOiIyNTk4NTcxMjUifQ==</vt:lpwstr>
  </property>
</Properties>
</file>