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特克斯县应急管理局2024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49A1AAC">
      <w:r>
        <w:br w:type="page"/>
      </w:r>
    </w:p>
    <w:p w14:paraId="4E15F9C2">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7F153D92">
      <w:pPr>
        <w:spacing w:line="640" w:lineRule="exact"/>
        <w:ind w:firstLine="640"/>
        <w:jc w:val="both"/>
        <w:outlineLvl w:val="2"/>
      </w:pPr>
      <w:r>
        <w:rPr>
          <w:rFonts w:ascii="黑体" w:hAnsi="黑体" w:eastAsia="黑体"/>
          <w:sz w:val="32"/>
        </w:rPr>
        <w:t>一、主要职能</w:t>
      </w:r>
    </w:p>
    <w:p w14:paraId="09A98B53">
      <w:pPr>
        <w:spacing w:line="580" w:lineRule="exact"/>
        <w:ind w:firstLine="640"/>
        <w:jc w:val="both"/>
      </w:pPr>
      <w:r>
        <w:rPr>
          <w:rFonts w:ascii="仿宋_GB2312" w:hAnsi="仿宋_GB2312" w:eastAsia="仿宋_GB2312"/>
          <w:sz w:val="32"/>
        </w:rPr>
        <w:t>（一）负责应急管理工作，指导各乡镇场、各部门应对安全生产类、自然灾害类突发事件、综合防灾减灾救灾工作。负责安全生产综合监督管理和工矿商贸行业安全生产监督管理工作。</w:t>
      </w:r>
    </w:p>
    <w:p w14:paraId="4FC4A798">
      <w:pPr>
        <w:spacing w:line="580" w:lineRule="exact"/>
        <w:ind w:firstLine="640"/>
        <w:jc w:val="both"/>
      </w:pPr>
      <w:r>
        <w:rPr>
          <w:rFonts w:ascii="仿宋_GB2312" w:hAnsi="仿宋_GB2312" w:eastAsia="仿宋_GB2312"/>
          <w:sz w:val="32"/>
        </w:rPr>
        <w:t>（二）组织编制应急体系建设、安全生产和综合防灾减灾规划，起草制定应急管理、安全生产类综合性机制、办法、规范性文件并监督实施。</w:t>
      </w:r>
    </w:p>
    <w:p w14:paraId="101A76F1">
      <w:pPr>
        <w:spacing w:line="580" w:lineRule="exact"/>
        <w:ind w:firstLine="640"/>
        <w:jc w:val="both"/>
      </w:pPr>
      <w:r>
        <w:rPr>
          <w:rFonts w:ascii="仿宋_GB2312" w:hAnsi="仿宋_GB2312" w:eastAsia="仿宋_GB2312"/>
          <w:sz w:val="32"/>
        </w:rPr>
        <w:t>（三）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w:t>
      </w:r>
    </w:p>
    <w:p w14:paraId="6196CD25">
      <w:pPr>
        <w:spacing w:line="580" w:lineRule="exact"/>
        <w:ind w:firstLine="640"/>
        <w:jc w:val="both"/>
      </w:pPr>
      <w:r>
        <w:rPr>
          <w:rFonts w:ascii="仿宋_GB2312" w:hAnsi="仿宋_GB2312" w:eastAsia="仿宋_GB2312"/>
          <w:sz w:val="32"/>
        </w:rPr>
        <w:t>（四）牵头建立统一的应急管理信息系统，负责编制和落实信息传输渠道的规划和布局，建立监测预警和灾情报告制度，健全自然灾害信息资源获取和共享机制，依法统一发布灾情。</w:t>
      </w:r>
    </w:p>
    <w:p w14:paraId="2BE90BDA">
      <w:pPr>
        <w:spacing w:line="580" w:lineRule="exact"/>
        <w:ind w:firstLine="640"/>
        <w:jc w:val="both"/>
      </w:pPr>
      <w:r>
        <w:rPr>
          <w:rFonts w:ascii="仿宋_GB2312" w:hAnsi="仿宋_GB2312" w:eastAsia="仿宋_GB2312"/>
          <w:sz w:val="32"/>
        </w:rPr>
        <w:t>（五）组织指导协调安全生产类、自然灾害类突发事件应急救援，承担特克斯县应对重大灾害指挥部工作，综合研判突发事件发展态势并提出应对建议，协助县委、县人民政府制定的负责同志组织重大灾害应急处置工作。</w:t>
      </w:r>
    </w:p>
    <w:p w14:paraId="0CD586A8">
      <w:pPr>
        <w:spacing w:line="580" w:lineRule="exact"/>
        <w:ind w:firstLine="640"/>
        <w:jc w:val="both"/>
      </w:pPr>
      <w:r>
        <w:rPr>
          <w:rFonts w:ascii="仿宋_GB2312" w:hAnsi="仿宋_GB2312" w:eastAsia="仿宋_GB2312"/>
          <w:sz w:val="32"/>
        </w:rPr>
        <w:t>（六）统一协调指挥各类应急专业队伍，建立应急协调联动机制，推进应急指挥平台对接，衔接解放军和武警部队参与应急救援工作。</w:t>
      </w:r>
    </w:p>
    <w:p w14:paraId="75A6E840">
      <w:pPr>
        <w:spacing w:line="580" w:lineRule="exact"/>
        <w:ind w:firstLine="640"/>
        <w:jc w:val="both"/>
      </w:pPr>
      <w:r>
        <w:rPr>
          <w:rFonts w:ascii="仿宋_GB2312" w:hAnsi="仿宋_GB2312" w:eastAsia="仿宋_GB2312"/>
          <w:sz w:val="32"/>
        </w:rPr>
        <w:t>（七）统筹应急救援力量建设，负责消防、森林和草原火灾扑救、抗洪抢险、地震和地质灾害救援、生产安全事故</w:t>
      </w:r>
      <w:r>
        <w:rPr>
          <w:rFonts w:hint="eastAsia" w:ascii="仿宋_GB2312" w:hAnsi="仿宋_GB2312" w:eastAsia="仿宋_GB2312"/>
          <w:sz w:val="32"/>
          <w:lang w:eastAsia="zh-CN"/>
        </w:rPr>
        <w:t>救援</w:t>
      </w:r>
      <w:r>
        <w:rPr>
          <w:rFonts w:ascii="仿宋_GB2312" w:hAnsi="仿宋_GB2312" w:eastAsia="仿宋_GB2312"/>
          <w:sz w:val="32"/>
        </w:rPr>
        <w:t>专业应急救援力量建设，管理指挥综合性应急救援队伍，指导各乡镇场及社会应急救援力量建设。</w:t>
      </w:r>
    </w:p>
    <w:p w14:paraId="1ED75FD6">
      <w:pPr>
        <w:spacing w:line="580" w:lineRule="exact"/>
        <w:ind w:firstLine="640"/>
        <w:jc w:val="both"/>
      </w:pPr>
      <w:r>
        <w:rPr>
          <w:rFonts w:ascii="仿宋_GB2312" w:hAnsi="仿宋_GB2312" w:eastAsia="仿宋_GB2312"/>
          <w:sz w:val="32"/>
        </w:rPr>
        <w:t>（八）负责消防管理工作，指导消防监督、火灾预防、火灾扑救等工作。</w:t>
      </w:r>
    </w:p>
    <w:p w14:paraId="00836DE9">
      <w:pPr>
        <w:spacing w:line="580" w:lineRule="exact"/>
        <w:ind w:firstLine="640"/>
        <w:jc w:val="both"/>
      </w:pPr>
      <w:r>
        <w:rPr>
          <w:rFonts w:ascii="仿宋_GB2312" w:hAnsi="仿宋_GB2312" w:eastAsia="仿宋_GB2312"/>
          <w:sz w:val="32"/>
        </w:rPr>
        <w:t>（九）指导协调森林和草原火灾、水旱灾害、地震和地质灾害防治工作，负责自然灾害综合监测预警工作，指导开展自然灾害综合风险评估工作。</w:t>
      </w:r>
    </w:p>
    <w:p w14:paraId="6C570503">
      <w:pPr>
        <w:spacing w:line="580" w:lineRule="exact"/>
        <w:ind w:firstLine="640"/>
        <w:jc w:val="both"/>
      </w:pPr>
      <w:r>
        <w:rPr>
          <w:rFonts w:ascii="仿宋_GB2312" w:hAnsi="仿宋_GB2312" w:eastAsia="仿宋_GB2312"/>
          <w:sz w:val="32"/>
        </w:rPr>
        <w:t>（十）组织协调灾害救助工作，组织指导灾情核查、损失评估、救灾捐赠工作，管理、分配中央、自治区、自治州和特克斯县救灾款物并监督使用。</w:t>
      </w:r>
    </w:p>
    <w:p w14:paraId="667AEF9D">
      <w:pPr>
        <w:spacing w:line="580" w:lineRule="exact"/>
        <w:ind w:firstLine="640"/>
        <w:jc w:val="both"/>
      </w:pPr>
      <w:r>
        <w:rPr>
          <w:rFonts w:ascii="仿宋_GB2312" w:hAnsi="仿宋_GB2312" w:eastAsia="仿宋_GB2312"/>
          <w:sz w:val="32"/>
        </w:rPr>
        <w:t>（十一）依法行使安全生产综合监督管理职权，指导协调、监督检查各乡（镇）场和有关部门安全生产工作，组织开展安全生产检查、考核工作。</w:t>
      </w:r>
    </w:p>
    <w:p w14:paraId="254BBEA5">
      <w:pPr>
        <w:spacing w:line="580" w:lineRule="exact"/>
        <w:ind w:firstLine="640"/>
        <w:jc w:val="both"/>
      </w:pPr>
      <w:r>
        <w:rPr>
          <w:rFonts w:ascii="仿宋_GB2312" w:hAnsi="仿宋_GB2312" w:eastAsia="仿宋_GB2312"/>
          <w:sz w:val="32"/>
        </w:rPr>
        <w:t>（十二）按照分级、属地原则，依法监督检查工矿商贸（煤矿除外）生产经营</w:t>
      </w:r>
      <w:r>
        <w:rPr>
          <w:rFonts w:hint="eastAsia" w:ascii="仿宋_GB2312" w:hAnsi="仿宋_GB2312" w:eastAsia="仿宋_GB2312"/>
          <w:sz w:val="32"/>
          <w:lang w:eastAsia="zh-CN"/>
        </w:rPr>
        <w:t>单位</w:t>
      </w:r>
      <w:r>
        <w:rPr>
          <w:rFonts w:ascii="仿宋_GB2312" w:hAnsi="仿宋_GB2312" w:eastAsia="仿宋_GB2312"/>
          <w:sz w:val="32"/>
        </w:rPr>
        <w:t>贯彻执行安全生产法律法规情况及其安全生产条件和有关设备（特种设备除外）、材料、劳动防护用品的安全生产管理工作。负责监督管理工矿商贸行业安全生产工作。依法组织并指导监督实施安全生产准入制度。负责危险化学品安全监督管理综合工作和烟花爆竹安全生产监督管理工作。</w:t>
      </w:r>
    </w:p>
    <w:p w14:paraId="3C3D0C7B">
      <w:pPr>
        <w:spacing w:line="580" w:lineRule="exact"/>
        <w:ind w:firstLine="640"/>
        <w:jc w:val="both"/>
      </w:pPr>
      <w:r>
        <w:rPr>
          <w:rFonts w:ascii="仿宋_GB2312" w:hAnsi="仿宋_GB2312" w:eastAsia="仿宋_GB2312"/>
          <w:sz w:val="32"/>
        </w:rPr>
        <w:t>（十三）依法组织生产安全事故调查处理，监督事故查处和责任追究落实情况。组织开展自然灾害类突发事件的调查评估工作。</w:t>
      </w:r>
    </w:p>
    <w:p w14:paraId="74BB726A">
      <w:pPr>
        <w:spacing w:line="580" w:lineRule="exact"/>
        <w:ind w:firstLine="640"/>
        <w:jc w:val="both"/>
      </w:pPr>
      <w:r>
        <w:rPr>
          <w:rFonts w:ascii="仿宋_GB2312" w:hAnsi="仿宋_GB2312" w:eastAsia="仿宋_GB2312"/>
          <w:sz w:val="32"/>
        </w:rPr>
        <w:t>（十四）制定应急物资储备和应急救援装备规划并组织实施，会同特克斯县发改委粮食等部门建立健全应急物资信息平台和调拨制度，在救灾时统一调度。</w:t>
      </w:r>
    </w:p>
    <w:p w14:paraId="2401825A">
      <w:pPr>
        <w:spacing w:line="580" w:lineRule="exact"/>
        <w:ind w:firstLine="640"/>
        <w:jc w:val="both"/>
      </w:pPr>
      <w:r>
        <w:rPr>
          <w:rFonts w:ascii="仿宋_GB2312" w:hAnsi="仿宋_GB2312" w:eastAsia="仿宋_GB2312"/>
          <w:sz w:val="32"/>
        </w:rPr>
        <w:t>（十五）负责应急管理、安全生产宣传教育和培训工作，组织指导应急管理工作、安全生产的科学技术研究、推广应用和信息化建设工作。协助开展应急管理方面的对外合作和交流。</w:t>
      </w:r>
    </w:p>
    <w:p w14:paraId="54D7664F">
      <w:pPr>
        <w:spacing w:line="580" w:lineRule="exact"/>
        <w:ind w:firstLine="640"/>
        <w:jc w:val="both"/>
      </w:pPr>
      <w:r>
        <w:rPr>
          <w:rFonts w:ascii="仿宋_GB2312" w:hAnsi="仿宋_GB2312" w:eastAsia="仿宋_GB2312"/>
          <w:sz w:val="32"/>
        </w:rPr>
        <w:t>（十六）完成县委、县人民政府交办的其他任务。</w:t>
      </w:r>
    </w:p>
    <w:p w14:paraId="607F3BCD">
      <w:pPr>
        <w:spacing w:line="580" w:lineRule="exact"/>
        <w:ind w:firstLine="640"/>
        <w:jc w:val="both"/>
      </w:pPr>
      <w:r>
        <w:rPr>
          <w:rFonts w:ascii="仿宋_GB2312" w:hAnsi="仿宋_GB2312" w:eastAsia="仿宋_GB2312"/>
          <w:sz w:val="32"/>
        </w:rPr>
        <w:t>（十七）职能转变。应急管理局应加强、优化、统筹特克斯县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应急管理水平和防灾减灾救灾能力，防范化解重大安全风险。二是坚持以人为本，把确保人民群众生命安全放在首位，确保受灾群众基本生活。加强应急预案演练，增强公民防灾减灾意识，提升公众知识普及和自救互救技能，切实减少人员伤亡和财产损失。三是树立安全发展理念，坚持生命至上、安全第一，落实安全生产责任，坚决遏制重特大安全事故。</w:t>
      </w:r>
    </w:p>
    <w:p w14:paraId="4E85445E">
      <w:pPr>
        <w:spacing w:line="640" w:lineRule="exact"/>
        <w:ind w:firstLine="640"/>
        <w:jc w:val="both"/>
        <w:outlineLvl w:val="2"/>
      </w:pPr>
      <w:r>
        <w:rPr>
          <w:rFonts w:ascii="黑体" w:hAnsi="黑体" w:eastAsia="黑体"/>
          <w:sz w:val="32"/>
        </w:rPr>
        <w:t>二、机构设置及人员情况</w:t>
      </w:r>
    </w:p>
    <w:p w14:paraId="654E965E">
      <w:pPr>
        <w:spacing w:line="580" w:lineRule="exact"/>
        <w:ind w:firstLine="640"/>
        <w:jc w:val="both"/>
      </w:pPr>
      <w:r>
        <w:rPr>
          <w:rFonts w:ascii="仿宋_GB2312" w:hAnsi="仿宋_GB2312" w:eastAsia="仿宋_GB2312"/>
          <w:sz w:val="32"/>
        </w:rPr>
        <w:t>特克斯县应急管理局2024年度，实有人数27人，其中：在职人员21人，增加0人；离休人员0人，增加0人；退休人员6人,增加1人。</w:t>
      </w:r>
    </w:p>
    <w:p w14:paraId="14F33133">
      <w:pPr>
        <w:spacing w:line="580" w:lineRule="exact"/>
        <w:ind w:firstLine="640"/>
        <w:jc w:val="both"/>
      </w:pPr>
      <w:r>
        <w:rPr>
          <w:rFonts w:ascii="仿宋_GB2312" w:hAnsi="仿宋_GB2312" w:eastAsia="仿宋_GB2312"/>
          <w:sz w:val="32"/>
        </w:rPr>
        <w:t>特克斯县应急管理局无下属预算</w:t>
      </w:r>
      <w:r>
        <w:rPr>
          <w:rFonts w:hint="eastAsia" w:ascii="仿宋_GB2312" w:hAnsi="仿宋_GB2312" w:eastAsia="仿宋_GB2312"/>
          <w:sz w:val="32"/>
          <w:lang w:eastAsia="zh-CN"/>
        </w:rPr>
        <w:t>单位</w:t>
      </w:r>
      <w:r>
        <w:rPr>
          <w:rFonts w:ascii="仿宋_GB2312" w:hAnsi="仿宋_GB2312" w:eastAsia="仿宋_GB2312"/>
          <w:sz w:val="32"/>
        </w:rPr>
        <w:t>，下设2个科室，分别是：综合科、应急指挥中心。</w:t>
      </w:r>
    </w:p>
    <w:p w14:paraId="072ECEE2">
      <w:r>
        <w:br w:type="page"/>
      </w:r>
    </w:p>
    <w:p w14:paraId="2270EC28">
      <w:pPr>
        <w:spacing w:line="240" w:lineRule="auto"/>
        <w:jc w:val="center"/>
        <w:outlineLvl w:val="1"/>
      </w:pPr>
      <w:r>
        <w:rPr>
          <w:rFonts w:ascii="黑体" w:hAnsi="黑体" w:eastAsia="黑体"/>
          <w:sz w:val="32"/>
        </w:rPr>
        <w:t>第二部分 部门决算情况说明</w:t>
      </w:r>
    </w:p>
    <w:p w14:paraId="479C4926">
      <w:pPr>
        <w:spacing w:line="640" w:lineRule="exact"/>
        <w:ind w:firstLine="640"/>
        <w:jc w:val="both"/>
        <w:outlineLvl w:val="2"/>
      </w:pPr>
      <w:r>
        <w:rPr>
          <w:rFonts w:ascii="黑体" w:hAnsi="黑体" w:eastAsia="黑体"/>
          <w:sz w:val="32"/>
        </w:rPr>
        <w:t>一、收入支出决算总体情况说明</w:t>
      </w:r>
    </w:p>
    <w:p w14:paraId="044A35F0">
      <w:pPr>
        <w:spacing w:line="580" w:lineRule="exact"/>
        <w:ind w:firstLine="640"/>
        <w:jc w:val="both"/>
      </w:pPr>
      <w:r>
        <w:rPr>
          <w:rFonts w:ascii="仿宋_GB2312" w:hAnsi="仿宋_GB2312" w:eastAsia="仿宋_GB2312"/>
          <w:b/>
          <w:sz w:val="32"/>
        </w:rPr>
        <w:t>2024年度收入总计424.48万元，</w:t>
      </w:r>
      <w:r>
        <w:rPr>
          <w:rFonts w:ascii="仿宋_GB2312" w:hAnsi="仿宋_GB2312" w:eastAsia="仿宋_GB2312"/>
          <w:b w:val="0"/>
          <w:sz w:val="32"/>
        </w:rPr>
        <w:t>其中：本年收入合计424.48万元，使用非财政拨款结余（含专用结余）0.00万元，年初结转和结余0.00万元。</w:t>
      </w:r>
    </w:p>
    <w:p w14:paraId="5E7B4019">
      <w:pPr>
        <w:spacing w:line="580" w:lineRule="exact"/>
        <w:ind w:firstLine="640"/>
        <w:jc w:val="both"/>
      </w:pPr>
      <w:r>
        <w:rPr>
          <w:rFonts w:ascii="仿宋_GB2312" w:hAnsi="仿宋_GB2312" w:eastAsia="仿宋_GB2312"/>
          <w:b/>
          <w:sz w:val="32"/>
        </w:rPr>
        <w:t>2024年度支出总计424.48万元，</w:t>
      </w:r>
      <w:r>
        <w:rPr>
          <w:rFonts w:ascii="仿宋_GB2312" w:hAnsi="仿宋_GB2312" w:eastAsia="仿宋_GB2312"/>
          <w:b w:val="0"/>
          <w:sz w:val="32"/>
        </w:rPr>
        <w:t>其中：本年支出合计424.48万元，结余分配0.00万元，年末结转和结余0.00万元。</w:t>
      </w:r>
    </w:p>
    <w:p w14:paraId="629C0DA9">
      <w:pPr>
        <w:spacing w:line="580" w:lineRule="exact"/>
        <w:ind w:firstLine="640"/>
        <w:jc w:val="both"/>
      </w:pPr>
      <w:r>
        <w:rPr>
          <w:rFonts w:ascii="仿宋_GB2312" w:hAnsi="仿宋_GB2312" w:eastAsia="仿宋_GB2312"/>
          <w:b w:val="0"/>
          <w:sz w:val="32"/>
        </w:rPr>
        <w:t>收入支出总体与上年相比，减少13.36万元，下降3.05%，主要原因是：本年减少特克斯县重点活动断层探测项目。</w:t>
      </w:r>
    </w:p>
    <w:p w14:paraId="0DFC9F8C">
      <w:pPr>
        <w:spacing w:line="640" w:lineRule="exact"/>
        <w:ind w:firstLine="640"/>
        <w:jc w:val="both"/>
        <w:outlineLvl w:val="2"/>
      </w:pPr>
      <w:r>
        <w:rPr>
          <w:rFonts w:ascii="黑体" w:hAnsi="黑体" w:eastAsia="黑体"/>
          <w:sz w:val="32"/>
        </w:rPr>
        <w:t>二、收入决算情况说明</w:t>
      </w:r>
    </w:p>
    <w:p w14:paraId="5C79C5D5">
      <w:pPr>
        <w:spacing w:line="580" w:lineRule="exact"/>
        <w:ind w:firstLine="640"/>
        <w:jc w:val="both"/>
      </w:pPr>
      <w:r>
        <w:rPr>
          <w:rFonts w:ascii="仿宋_GB2312" w:hAnsi="仿宋_GB2312" w:eastAsia="仿宋_GB2312"/>
          <w:b/>
          <w:sz w:val="32"/>
        </w:rPr>
        <w:t>本年收入424.48万元，</w:t>
      </w:r>
      <w:r>
        <w:rPr>
          <w:rFonts w:ascii="仿宋_GB2312" w:hAnsi="仿宋_GB2312" w:eastAsia="仿宋_GB2312"/>
          <w:b w:val="0"/>
          <w:sz w:val="32"/>
        </w:rPr>
        <w:t>其中：财政拨款收入415.32万元，占97.84%；上级补助收入0.00万元，占0.00%；事业收入0.00万元，占0.00%；经营收入0.00万元，占0.00%；附属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上缴收入0.00万元，占0.00%；其他收入9.17万元，占2.16%。</w:t>
      </w:r>
    </w:p>
    <w:p w14:paraId="7FB5EAB9">
      <w:pPr>
        <w:spacing w:line="640" w:lineRule="exact"/>
        <w:ind w:firstLine="640"/>
        <w:jc w:val="both"/>
        <w:outlineLvl w:val="2"/>
      </w:pPr>
      <w:r>
        <w:rPr>
          <w:rFonts w:ascii="黑体" w:hAnsi="黑体" w:eastAsia="黑体"/>
          <w:sz w:val="32"/>
        </w:rPr>
        <w:t>三、支出决算情况说明</w:t>
      </w:r>
    </w:p>
    <w:p w14:paraId="41FF6D37">
      <w:pPr>
        <w:spacing w:line="580" w:lineRule="exact"/>
        <w:ind w:firstLine="640"/>
        <w:jc w:val="both"/>
      </w:pPr>
      <w:r>
        <w:rPr>
          <w:rFonts w:ascii="仿宋_GB2312" w:hAnsi="仿宋_GB2312" w:eastAsia="仿宋_GB2312"/>
          <w:b/>
          <w:sz w:val="32"/>
        </w:rPr>
        <w:t>本年支出424.48万元，</w:t>
      </w:r>
      <w:r>
        <w:rPr>
          <w:rFonts w:ascii="仿宋_GB2312" w:hAnsi="仿宋_GB2312" w:eastAsia="仿宋_GB2312"/>
          <w:b w:val="0"/>
          <w:sz w:val="32"/>
        </w:rPr>
        <w:t>其中：基本支出344.86万元，占81.24%；项目支出79.62万元，占18.76%；上缴上级支出0.00万元，占0.00%；经营支出0.00万元，占0.00%；对附属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19CA78F">
      <w:pPr>
        <w:spacing w:line="640" w:lineRule="exact"/>
        <w:ind w:firstLine="640"/>
        <w:jc w:val="both"/>
        <w:outlineLvl w:val="2"/>
      </w:pPr>
      <w:r>
        <w:rPr>
          <w:rFonts w:ascii="黑体" w:hAnsi="黑体" w:eastAsia="黑体"/>
          <w:sz w:val="32"/>
        </w:rPr>
        <w:t>四、财政拨款收入支出决算总体情况说明</w:t>
      </w:r>
    </w:p>
    <w:p w14:paraId="28F857ED">
      <w:pPr>
        <w:spacing w:line="580" w:lineRule="exact"/>
        <w:ind w:firstLine="640"/>
        <w:jc w:val="both"/>
      </w:pPr>
      <w:r>
        <w:rPr>
          <w:rFonts w:ascii="仿宋_GB2312" w:hAnsi="仿宋_GB2312" w:eastAsia="仿宋_GB2312"/>
          <w:b/>
          <w:sz w:val="32"/>
        </w:rPr>
        <w:t>2024年度财政拨款收入总计415.32万元，</w:t>
      </w:r>
      <w:r>
        <w:rPr>
          <w:rFonts w:ascii="仿宋_GB2312" w:hAnsi="仿宋_GB2312" w:eastAsia="仿宋_GB2312"/>
          <w:b w:val="0"/>
          <w:sz w:val="32"/>
        </w:rPr>
        <w:t>其中：年初财政拨款结转和结余0.00万元，本年财政拨款收入415.32万元。</w:t>
      </w:r>
      <w:r>
        <w:rPr>
          <w:rFonts w:ascii="仿宋_GB2312" w:hAnsi="仿宋_GB2312" w:eastAsia="仿宋_GB2312"/>
          <w:b/>
          <w:sz w:val="32"/>
        </w:rPr>
        <w:t>财政拨款支出总计415.32万元，</w:t>
      </w:r>
      <w:r>
        <w:rPr>
          <w:rFonts w:ascii="仿宋_GB2312" w:hAnsi="仿宋_GB2312" w:eastAsia="仿宋_GB2312"/>
          <w:b w:val="0"/>
          <w:sz w:val="32"/>
        </w:rPr>
        <w:t>其中：年末财政拨款结转和结余0.00万元，本年财政拨款支出415.32万元。</w:t>
      </w:r>
    </w:p>
    <w:p w14:paraId="29C1DB50">
      <w:pPr>
        <w:spacing w:line="580" w:lineRule="exact"/>
        <w:ind w:firstLine="640"/>
        <w:jc w:val="both"/>
        <w:rPr>
          <w:spacing w:val="-6"/>
          <w:sz w:val="32"/>
        </w:rPr>
      </w:pPr>
      <w:r>
        <w:rPr>
          <w:rFonts w:ascii="仿宋_GB2312" w:hAnsi="仿宋_GB2312" w:eastAsia="仿宋_GB2312"/>
          <w:b/>
          <w:sz w:val="32"/>
        </w:rPr>
        <w:t>财政拨款收入支出总体与上年相比，</w:t>
      </w:r>
      <w:r>
        <w:rPr>
          <w:rFonts w:ascii="仿宋_GB2312" w:hAnsi="仿宋_GB2312" w:eastAsia="仿宋_GB2312"/>
          <w:b w:val="0"/>
          <w:sz w:val="32"/>
        </w:rPr>
        <w:t>减少22.52万元，下降5.14%，主要原因是：本年减少特克斯县重点活动断层探测项目。</w:t>
      </w:r>
      <w:r>
        <w:rPr>
          <w:rFonts w:ascii="仿宋_GB2312" w:hAnsi="仿宋_GB2312" w:eastAsia="仿宋_GB2312"/>
          <w:b/>
          <w:sz w:val="32"/>
        </w:rPr>
        <w:t>与年初预算相比，</w:t>
      </w:r>
      <w:r>
        <w:rPr>
          <w:rFonts w:ascii="仿宋_GB2312" w:hAnsi="仿宋_GB2312" w:eastAsia="仿宋_GB2312"/>
          <w:b w:val="0"/>
          <w:sz w:val="32"/>
        </w:rPr>
        <w:t>年初预算数341.88万元，决算数415.32万元，预决算差异率21.48%，主要原因是：</w:t>
      </w:r>
      <w:r>
        <w:rPr>
          <w:rFonts w:ascii="仿宋_GB2312" w:hAnsi="仿宋_GB2312" w:eastAsia="仿宋_GB2312"/>
          <w:b w:val="0"/>
          <w:spacing w:val="-6"/>
          <w:sz w:val="32"/>
        </w:rPr>
        <w:t>年中追加煤矿及重点非煤矿山重点灾害风险防控项目，导致预决算存在差异。</w:t>
      </w:r>
    </w:p>
    <w:p w14:paraId="75FCF589">
      <w:pPr>
        <w:spacing w:line="640" w:lineRule="exact"/>
        <w:ind w:firstLine="640"/>
        <w:jc w:val="both"/>
        <w:outlineLvl w:val="2"/>
      </w:pPr>
      <w:r>
        <w:rPr>
          <w:rFonts w:ascii="黑体" w:hAnsi="黑体" w:eastAsia="黑体"/>
          <w:sz w:val="32"/>
        </w:rPr>
        <w:t>五、一般公共预算财政拨款支出决算情况说明</w:t>
      </w:r>
    </w:p>
    <w:p w14:paraId="3376B010">
      <w:pPr>
        <w:spacing w:line="640" w:lineRule="exact"/>
        <w:ind w:firstLine="640"/>
        <w:jc w:val="both"/>
        <w:outlineLvl w:val="3"/>
      </w:pPr>
      <w:r>
        <w:rPr>
          <w:rFonts w:ascii="楷体_GB2312" w:hAnsi="楷体_GB2312" w:eastAsia="楷体_GB2312"/>
          <w:b/>
          <w:sz w:val="32"/>
        </w:rPr>
        <w:t>（一）一般公共预算财政拨款支出决算总体情况</w:t>
      </w:r>
    </w:p>
    <w:p w14:paraId="2E94428C">
      <w:pPr>
        <w:spacing w:line="580" w:lineRule="exact"/>
        <w:ind w:firstLine="640"/>
        <w:jc w:val="both"/>
      </w:pPr>
      <w:r>
        <w:rPr>
          <w:rFonts w:ascii="仿宋_GB2312" w:hAnsi="仿宋_GB2312" w:eastAsia="仿宋_GB2312"/>
          <w:b/>
          <w:sz w:val="32"/>
        </w:rPr>
        <w:t>2024年度一般公共预算财政拨款支出415.32万元，</w:t>
      </w:r>
      <w:r>
        <w:rPr>
          <w:rFonts w:ascii="仿宋_GB2312" w:hAnsi="仿宋_GB2312" w:eastAsia="仿宋_GB2312"/>
          <w:b w:val="0"/>
          <w:sz w:val="32"/>
        </w:rPr>
        <w:t>占本年支出合计的97.84%。</w:t>
      </w:r>
      <w:r>
        <w:rPr>
          <w:rFonts w:ascii="仿宋_GB2312" w:hAnsi="仿宋_GB2312" w:eastAsia="仿宋_GB2312"/>
          <w:b/>
          <w:sz w:val="32"/>
        </w:rPr>
        <w:t>与上年相比，</w:t>
      </w:r>
      <w:r>
        <w:rPr>
          <w:rFonts w:ascii="仿宋_GB2312" w:hAnsi="仿宋_GB2312" w:eastAsia="仿宋_GB2312"/>
          <w:b w:val="0"/>
          <w:sz w:val="32"/>
        </w:rPr>
        <w:t>减少22.52万元，下降5.14%，主要原因是：本年减少特克斯县重点活动断层探测项目。</w:t>
      </w:r>
      <w:r>
        <w:rPr>
          <w:rFonts w:ascii="仿宋_GB2312" w:hAnsi="仿宋_GB2312" w:eastAsia="仿宋_GB2312"/>
          <w:b/>
          <w:sz w:val="32"/>
        </w:rPr>
        <w:t>与年初预算相比,</w:t>
      </w:r>
      <w:r>
        <w:rPr>
          <w:rFonts w:ascii="仿宋_GB2312" w:hAnsi="仿宋_GB2312" w:eastAsia="仿宋_GB2312"/>
          <w:b w:val="0"/>
          <w:sz w:val="32"/>
        </w:rPr>
        <w:t>年初预算数341.88万元，决算数415.32万元，预决算差异率21.48%，主要原因是：年中追加煤矿及重点非煤矿山重点灾害风险防控项目，导致预决算存在差异。</w:t>
      </w:r>
    </w:p>
    <w:p w14:paraId="6B4CC09D">
      <w:pPr>
        <w:spacing w:line="640" w:lineRule="exact"/>
        <w:ind w:firstLine="640"/>
        <w:jc w:val="both"/>
        <w:outlineLvl w:val="3"/>
      </w:pPr>
      <w:r>
        <w:rPr>
          <w:rFonts w:ascii="楷体_GB2312" w:hAnsi="楷体_GB2312" w:eastAsia="楷体_GB2312"/>
          <w:b/>
          <w:sz w:val="32"/>
        </w:rPr>
        <w:t>（二）一般公共预算财政拨款支出决算结构情况</w:t>
      </w:r>
    </w:p>
    <w:p w14:paraId="381EAA82">
      <w:pPr>
        <w:spacing w:line="580" w:lineRule="exact"/>
        <w:ind w:firstLine="640"/>
        <w:jc w:val="both"/>
      </w:pPr>
      <w:r>
        <w:rPr>
          <w:rFonts w:ascii="仿宋_GB2312" w:hAnsi="仿宋_GB2312" w:eastAsia="仿宋_GB2312"/>
          <w:b w:val="0"/>
          <w:sz w:val="32"/>
        </w:rPr>
        <w:t>1.社会保障和就业支出(类)40.82万元,占9.83%。</w:t>
      </w:r>
    </w:p>
    <w:p w14:paraId="3CA8C03E">
      <w:pPr>
        <w:spacing w:line="580" w:lineRule="exact"/>
        <w:ind w:firstLine="640"/>
        <w:jc w:val="both"/>
      </w:pPr>
      <w:r>
        <w:rPr>
          <w:rFonts w:ascii="仿宋_GB2312" w:hAnsi="仿宋_GB2312" w:eastAsia="仿宋_GB2312"/>
          <w:b w:val="0"/>
          <w:sz w:val="32"/>
        </w:rPr>
        <w:t>2.卫生健康支出(类)14.07万元,占3.39%。</w:t>
      </w:r>
    </w:p>
    <w:p w14:paraId="611013B8">
      <w:pPr>
        <w:spacing w:line="580" w:lineRule="exact"/>
        <w:ind w:firstLine="640"/>
        <w:jc w:val="both"/>
      </w:pPr>
      <w:r>
        <w:rPr>
          <w:rFonts w:ascii="仿宋_GB2312" w:hAnsi="仿宋_GB2312" w:eastAsia="仿宋_GB2312"/>
          <w:b w:val="0"/>
          <w:sz w:val="32"/>
        </w:rPr>
        <w:t>3.住房保障支出(类)25.81万元,占6.21%。</w:t>
      </w:r>
    </w:p>
    <w:p w14:paraId="69781E73">
      <w:pPr>
        <w:spacing w:line="580" w:lineRule="exact"/>
        <w:ind w:firstLine="640"/>
        <w:jc w:val="both"/>
      </w:pPr>
      <w:r>
        <w:rPr>
          <w:rFonts w:ascii="仿宋_GB2312" w:hAnsi="仿宋_GB2312" w:eastAsia="仿宋_GB2312"/>
          <w:b w:val="0"/>
          <w:sz w:val="32"/>
        </w:rPr>
        <w:t>4.灾害防治及应急管理支出(类)334.62万元,占80.57%。</w:t>
      </w:r>
    </w:p>
    <w:p w14:paraId="7812B3E7">
      <w:pPr>
        <w:spacing w:line="640" w:lineRule="exact"/>
        <w:ind w:firstLine="640"/>
        <w:jc w:val="both"/>
        <w:outlineLvl w:val="3"/>
      </w:pPr>
      <w:r>
        <w:rPr>
          <w:rFonts w:ascii="楷体_GB2312" w:hAnsi="楷体_GB2312" w:eastAsia="楷体_GB2312"/>
          <w:b/>
          <w:sz w:val="32"/>
        </w:rPr>
        <w:t>（三）一般公共预算财政拨款支出决算具体情况</w:t>
      </w:r>
    </w:p>
    <w:p w14:paraId="09A71543">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基本养老保险缴费支出(项):支出决算数为33.19万元，比上年决算增加4.85万元，增长17.11%,主要原因是：本年工资调资，养老保险缴费基数增长，缴费支出增加。</w:t>
      </w:r>
    </w:p>
    <w:p w14:paraId="692A8213">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职业年金缴费支出(项):支出决算数为7.63万元，比上年决算增加1.10万元，增长16.85%,主要原因是：本年退休人员增加，职业年金缴费支出增加。</w:t>
      </w:r>
    </w:p>
    <w:p w14:paraId="4FF427AE">
      <w:pPr>
        <w:spacing w:line="580" w:lineRule="exact"/>
        <w:ind w:firstLine="640"/>
        <w:jc w:val="both"/>
      </w:pPr>
      <w:r>
        <w:rPr>
          <w:rFonts w:ascii="仿宋_GB2312" w:hAnsi="仿宋_GB2312" w:eastAsia="仿宋_GB2312"/>
          <w:b w:val="0"/>
          <w:sz w:val="32"/>
        </w:rPr>
        <w:t>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医疗(项):支出决算数为6.63万元，比上年决算减少0.27万元，下降3.91%,主要原因是：因退休人员医疗保险制度改革，退休人员基本医疗不再由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336132C6">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医疗(项):支出决算数为7.01万元，比上年决算增加0.93万元，增长15.30%,主要原因是：本年在职人员工资基数调增，医疗缴费基数上涨，相应支出增加。</w:t>
      </w:r>
    </w:p>
    <w:p w14:paraId="448852D0">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医疗(款)公务员医疗补助(项):支出决算数为0.19万元，比上年决算增加0.01万元，增长5.56%,主要原因是：本年在职人员工资基数调增，医疗缴费基数上涨，相应支出增加。</w:t>
      </w:r>
    </w:p>
    <w:p w14:paraId="42F4A2D4">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医疗支出(项):支出决算数为0.24万元，比上年决算减少0.04万元，下降14.29%,主要原因是：本年在职人员调入调出，其他行政事业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3C802B56">
      <w:pPr>
        <w:spacing w:line="580" w:lineRule="exact"/>
        <w:ind w:firstLine="640"/>
        <w:jc w:val="both"/>
      </w:pPr>
      <w:r>
        <w:rPr>
          <w:rFonts w:ascii="仿宋_GB2312" w:hAnsi="仿宋_GB2312" w:eastAsia="仿宋_GB2312"/>
          <w:b w:val="0"/>
          <w:sz w:val="32"/>
        </w:rPr>
        <w:t>7.住房保障支出(类)住房改革支出(款)住房公积金(项):支出决算数为25.81万元，比上年决算增加3.33万元，增长14.81%,主要原因是：本年工资调资，住房公积金缴费基数增长，缴费支出增加。</w:t>
      </w:r>
    </w:p>
    <w:p w14:paraId="439DB91A">
      <w:pPr>
        <w:spacing w:line="580" w:lineRule="exact"/>
        <w:ind w:firstLine="640"/>
        <w:jc w:val="both"/>
      </w:pPr>
      <w:r>
        <w:rPr>
          <w:rFonts w:ascii="仿宋_GB2312" w:hAnsi="仿宋_GB2312" w:eastAsia="仿宋_GB2312"/>
          <w:b w:val="0"/>
          <w:sz w:val="32"/>
        </w:rPr>
        <w:t>8.灾害防治及应急管理支出(类)应急管理事务(款)行政运行(项):支出决算数为254.99万元，比上年决算减少2.06万元，下降0.80%,主要原因是：严格控制公用经费，合理节约办公用品，减少不必要开支。</w:t>
      </w:r>
    </w:p>
    <w:p w14:paraId="3E9414C0">
      <w:pPr>
        <w:spacing w:line="580" w:lineRule="exact"/>
        <w:ind w:firstLine="640"/>
        <w:jc w:val="both"/>
      </w:pPr>
      <w:r>
        <w:rPr>
          <w:rFonts w:ascii="仿宋_GB2312" w:hAnsi="仿宋_GB2312" w:eastAsia="仿宋_GB2312"/>
          <w:b w:val="0"/>
          <w:sz w:val="32"/>
        </w:rPr>
        <w:t>9.灾害防治及应急管理支出(类)应急管理事务(款)安全监管(项):支出决算数为0.00万元，比上年决算减少10.00万元，下降100.00%,主要原因是：本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因实际工作安排，减少特克斯县安全生产购买服务项目。</w:t>
      </w:r>
    </w:p>
    <w:p w14:paraId="7697572B">
      <w:pPr>
        <w:spacing w:line="580" w:lineRule="exact"/>
        <w:ind w:firstLine="640"/>
        <w:jc w:val="both"/>
      </w:pPr>
      <w:r>
        <w:rPr>
          <w:rFonts w:ascii="仿宋_GB2312" w:hAnsi="仿宋_GB2312" w:eastAsia="仿宋_GB2312"/>
          <w:b w:val="0"/>
          <w:sz w:val="32"/>
        </w:rPr>
        <w:t>10.灾害防治及应急管理支出(类)矿山安全(款)矿山安全监察事务(项):支出决算数为74.00万元，比上年决算增加74.00万元，增长100.00%,主要原因是：本年度增加煤矿及重点非煤矿山重点灾害风险防控项目。</w:t>
      </w:r>
    </w:p>
    <w:p w14:paraId="04063880">
      <w:pPr>
        <w:spacing w:line="580" w:lineRule="exact"/>
        <w:ind w:firstLine="640"/>
        <w:jc w:val="both"/>
      </w:pPr>
      <w:r>
        <w:rPr>
          <w:rFonts w:ascii="仿宋_GB2312" w:hAnsi="仿宋_GB2312" w:eastAsia="仿宋_GB2312"/>
          <w:b w:val="0"/>
          <w:sz w:val="32"/>
        </w:rPr>
        <w:t>11.灾害防治及应急管理支出(类)地震事务(款)防震减灾基础管理(项):支出决算数为0.00万元，比上年决算减少100.00万元，下降100.00%,主要原因是：本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因实际工作安排，减少特克斯县重点活动断层探测项目。</w:t>
      </w:r>
    </w:p>
    <w:p w14:paraId="204952C8">
      <w:pPr>
        <w:spacing w:line="580" w:lineRule="exact"/>
        <w:ind w:firstLine="640"/>
        <w:jc w:val="both"/>
      </w:pPr>
      <w:r>
        <w:rPr>
          <w:rFonts w:ascii="仿宋_GB2312" w:hAnsi="仿宋_GB2312" w:eastAsia="仿宋_GB2312"/>
          <w:b w:val="0"/>
          <w:sz w:val="32"/>
        </w:rPr>
        <w:t>12.灾害防治及应急管理支出(类)自然灾害救灾及恢复重建支出(款)自然灾害救灾补助(项):支出决算数为5.62万元，比上年决算增加5.62万元，增长100.00%,主要原因是：本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因实际工作安排，增加自然灾害救灾补助。</w:t>
      </w:r>
    </w:p>
    <w:p w14:paraId="7914D5A7">
      <w:pPr>
        <w:spacing w:line="640" w:lineRule="exact"/>
        <w:ind w:firstLine="640"/>
        <w:jc w:val="both"/>
        <w:outlineLvl w:val="2"/>
      </w:pPr>
      <w:r>
        <w:rPr>
          <w:rFonts w:ascii="黑体" w:hAnsi="黑体" w:eastAsia="黑体"/>
          <w:sz w:val="32"/>
        </w:rPr>
        <w:t>六、一般公共预算财政拨款基本支出决算情况说明</w:t>
      </w:r>
    </w:p>
    <w:p w14:paraId="3C8B2161">
      <w:pPr>
        <w:spacing w:line="580" w:lineRule="exact"/>
        <w:ind w:firstLine="640"/>
        <w:jc w:val="both"/>
      </w:pPr>
      <w:r>
        <w:rPr>
          <w:rFonts w:ascii="仿宋_GB2312" w:hAnsi="仿宋_GB2312" w:eastAsia="仿宋_GB2312"/>
          <w:b w:val="0"/>
          <w:sz w:val="32"/>
        </w:rPr>
        <w:t>2024年度一般公共预算财政拨款基本支出335.69万元，其中：</w:t>
      </w:r>
      <w:r>
        <w:rPr>
          <w:rFonts w:ascii="仿宋_GB2312" w:hAnsi="仿宋_GB2312" w:eastAsia="仿宋_GB2312"/>
          <w:b/>
          <w:sz w:val="32"/>
        </w:rPr>
        <w:t>人员经费329.95万元，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w:t>
      </w:r>
    </w:p>
    <w:p w14:paraId="7F21630E">
      <w:pPr>
        <w:spacing w:line="580" w:lineRule="exact"/>
        <w:ind w:firstLine="640"/>
        <w:jc w:val="both"/>
      </w:pPr>
      <w:r>
        <w:rPr>
          <w:rFonts w:ascii="仿宋_GB2312" w:hAnsi="仿宋_GB2312" w:eastAsia="仿宋_GB2312"/>
          <w:b/>
          <w:sz w:val="32"/>
        </w:rPr>
        <w:t>公用经费5.74万元，</w:t>
      </w:r>
      <w:r>
        <w:rPr>
          <w:rFonts w:ascii="仿宋_GB2312" w:hAnsi="仿宋_GB2312" w:eastAsia="仿宋_GB2312"/>
          <w:b w:val="0"/>
          <w:sz w:val="32"/>
        </w:rPr>
        <w:t>包括：办公费、邮电费、差旅费、工会经费、公务用车运行维护费。</w:t>
      </w:r>
    </w:p>
    <w:p w14:paraId="72EC8258">
      <w:pPr>
        <w:spacing w:line="640" w:lineRule="exact"/>
        <w:ind w:firstLine="640"/>
        <w:jc w:val="both"/>
        <w:outlineLvl w:val="2"/>
      </w:pPr>
      <w:r>
        <w:rPr>
          <w:rFonts w:ascii="黑体" w:hAnsi="黑体" w:eastAsia="黑体"/>
          <w:sz w:val="32"/>
        </w:rPr>
        <w:t>七、政府性基金预算财政拨款收入支出决算情况说明</w:t>
      </w:r>
    </w:p>
    <w:p w14:paraId="7496841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63100D3">
      <w:pPr>
        <w:spacing w:line="640" w:lineRule="exact"/>
        <w:ind w:firstLine="640"/>
        <w:jc w:val="both"/>
        <w:outlineLvl w:val="2"/>
      </w:pPr>
      <w:r>
        <w:rPr>
          <w:rFonts w:ascii="黑体" w:hAnsi="黑体" w:eastAsia="黑体"/>
          <w:sz w:val="32"/>
        </w:rPr>
        <w:t>八、国有资本经营预算财政拨款收入支出决算情况说明</w:t>
      </w:r>
    </w:p>
    <w:p w14:paraId="0AC2F01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4A5210B">
      <w:pPr>
        <w:spacing w:line="640" w:lineRule="exact"/>
        <w:ind w:firstLine="640"/>
        <w:jc w:val="both"/>
        <w:outlineLvl w:val="2"/>
      </w:pPr>
      <w:r>
        <w:rPr>
          <w:rFonts w:ascii="黑体" w:hAnsi="黑体" w:eastAsia="黑体"/>
          <w:sz w:val="32"/>
        </w:rPr>
        <w:t>九、财政拨款“三公”经费支出决算情况说明</w:t>
      </w:r>
    </w:p>
    <w:p w14:paraId="124306EC">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0.80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55293DB0">
      <w:pPr>
        <w:spacing w:line="580" w:lineRule="exact"/>
        <w:ind w:firstLine="640"/>
        <w:jc w:val="both"/>
      </w:pPr>
      <w:r>
        <w:rPr>
          <w:rFonts w:ascii="仿宋_GB2312" w:hAnsi="仿宋_GB2312" w:eastAsia="仿宋_GB2312"/>
          <w:b/>
          <w:sz w:val="32"/>
        </w:rPr>
        <w:t>具体情况如下：</w:t>
      </w:r>
    </w:p>
    <w:p w14:paraId="03B0F64C">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7140EB9A">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审车费、过路费等。公务用车购置数0辆，公务用车保有量1辆。国有资产占用情况中固定资产车辆2辆，与公务用车保有量差异原因是：</w:t>
      </w:r>
      <w:r>
        <w:rPr>
          <w:rFonts w:hint="eastAsia" w:ascii="仿宋_GB2312" w:hAnsi="仿宋_GB2312" w:eastAsia="仿宋_GB2312"/>
          <w:b w:val="0"/>
          <w:sz w:val="32"/>
          <w:lang w:val="en-US" w:eastAsia="zh-CN"/>
        </w:rPr>
        <w:t>差异车辆为</w:t>
      </w:r>
      <w:r>
        <w:rPr>
          <w:rFonts w:ascii="仿宋_GB2312" w:hAnsi="仿宋_GB2312" w:eastAsia="仿宋_GB2312"/>
          <w:b w:val="0"/>
          <w:sz w:val="32"/>
        </w:rPr>
        <w:t>借用其他</w:t>
      </w:r>
      <w:r>
        <w:rPr>
          <w:rFonts w:hint="eastAsia" w:ascii="仿宋_GB2312" w:hAnsi="仿宋_GB2312" w:eastAsia="仿宋_GB2312"/>
          <w:b w:val="0"/>
          <w:sz w:val="32"/>
          <w:lang w:eastAsia="zh-CN"/>
        </w:rPr>
        <w:t>单位</w:t>
      </w:r>
      <w:r>
        <w:rPr>
          <w:rFonts w:ascii="仿宋_GB2312" w:hAnsi="仿宋_GB2312" w:eastAsia="仿宋_GB2312"/>
          <w:b w:val="0"/>
          <w:sz w:val="32"/>
        </w:rPr>
        <w:t>使用</w:t>
      </w:r>
      <w:r>
        <w:rPr>
          <w:rFonts w:hint="eastAsia" w:ascii="仿宋_GB2312" w:hAnsi="仿宋_GB2312" w:eastAsia="仿宋_GB2312"/>
          <w:b w:val="0"/>
          <w:sz w:val="32"/>
          <w:lang w:val="en-US" w:eastAsia="zh-CN"/>
        </w:rPr>
        <w:t>车辆</w:t>
      </w:r>
      <w:r>
        <w:rPr>
          <w:rFonts w:ascii="仿宋_GB2312" w:hAnsi="仿宋_GB2312" w:eastAsia="仿宋_GB2312"/>
          <w:b w:val="0"/>
          <w:sz w:val="32"/>
        </w:rPr>
        <w:t>，车辆费用由使用</w:t>
      </w:r>
      <w:r>
        <w:rPr>
          <w:rFonts w:hint="eastAsia" w:ascii="仿宋_GB2312" w:hAnsi="仿宋_GB2312" w:eastAsia="仿宋_GB2312"/>
          <w:b w:val="0"/>
          <w:sz w:val="32"/>
          <w:lang w:eastAsia="zh-CN"/>
        </w:rPr>
        <w:t>单位</w:t>
      </w:r>
      <w:r>
        <w:rPr>
          <w:rFonts w:ascii="仿宋_GB2312" w:hAnsi="仿宋_GB2312" w:eastAsia="仿宋_GB2312"/>
          <w:b w:val="0"/>
          <w:sz w:val="32"/>
        </w:rPr>
        <w:t>支付。</w:t>
      </w:r>
    </w:p>
    <w:p w14:paraId="74E3E35F">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44ED28E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0.80万元，决算数0.80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50921BC">
      <w:pPr>
        <w:spacing w:line="640" w:lineRule="exact"/>
        <w:ind w:firstLine="640"/>
        <w:jc w:val="both"/>
        <w:outlineLvl w:val="2"/>
      </w:pPr>
      <w:r>
        <w:rPr>
          <w:rFonts w:ascii="黑体" w:hAnsi="黑体" w:eastAsia="黑体"/>
          <w:sz w:val="32"/>
        </w:rPr>
        <w:t>十、其他重要事项的情况说明</w:t>
      </w:r>
    </w:p>
    <w:p w14:paraId="4CEB6952">
      <w:pPr>
        <w:spacing w:line="640" w:lineRule="exact"/>
        <w:ind w:firstLine="640"/>
        <w:jc w:val="both"/>
        <w:outlineLvl w:val="3"/>
      </w:pPr>
      <w:r>
        <w:rPr>
          <w:rFonts w:ascii="楷体_GB2312" w:hAnsi="楷体_GB2312" w:eastAsia="楷体_GB2312"/>
          <w:b/>
          <w:sz w:val="32"/>
        </w:rPr>
        <w:t>（一）机关运行经费及公用经费支出情况</w:t>
      </w:r>
    </w:p>
    <w:p w14:paraId="26C79A09">
      <w:pPr>
        <w:spacing w:line="580" w:lineRule="exact"/>
        <w:ind w:firstLine="640"/>
        <w:jc w:val="both"/>
      </w:pPr>
      <w:r>
        <w:rPr>
          <w:rFonts w:ascii="仿宋_GB2312" w:hAnsi="仿宋_GB2312" w:eastAsia="仿宋_GB2312"/>
          <w:b w:val="0"/>
          <w:sz w:val="32"/>
        </w:rPr>
        <w:t>2024年度特克斯县应急管理局（行政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）机关运行经费支出5.74万元，比上年减少12.63万元，下降68.75%，主要原因是：严格控制公用经费，合理节约办公用品，减少办公经费。</w:t>
      </w:r>
    </w:p>
    <w:p w14:paraId="65D13C11">
      <w:pPr>
        <w:spacing w:line="640" w:lineRule="exact"/>
        <w:ind w:firstLine="640"/>
        <w:jc w:val="both"/>
        <w:outlineLvl w:val="3"/>
      </w:pPr>
      <w:r>
        <w:rPr>
          <w:rFonts w:ascii="楷体_GB2312" w:hAnsi="楷体_GB2312" w:eastAsia="楷体_GB2312"/>
          <w:b/>
          <w:sz w:val="32"/>
        </w:rPr>
        <w:t>（二）政府采购情况</w:t>
      </w:r>
    </w:p>
    <w:p w14:paraId="3B1C0855">
      <w:pPr>
        <w:spacing w:line="580" w:lineRule="exact"/>
        <w:ind w:firstLine="640"/>
        <w:jc w:val="both"/>
      </w:pPr>
      <w:r>
        <w:rPr>
          <w:rFonts w:ascii="仿宋_GB2312" w:hAnsi="仿宋_GB2312" w:eastAsia="仿宋_GB2312"/>
          <w:b w:val="0"/>
          <w:sz w:val="32"/>
        </w:rPr>
        <w:t>2024年度政府采购支出总额3.57万元，其中：政府采购货物支出1.67万元、政府采购工程支出0.00万元、政府采购服务支出1.89万元。</w:t>
      </w:r>
    </w:p>
    <w:p w14:paraId="4B952EF4">
      <w:pPr>
        <w:spacing w:line="580" w:lineRule="exact"/>
        <w:ind w:firstLine="640"/>
        <w:jc w:val="both"/>
      </w:pPr>
      <w:r>
        <w:rPr>
          <w:rFonts w:ascii="仿宋_GB2312" w:hAnsi="仿宋_GB2312" w:eastAsia="仿宋_GB2312"/>
          <w:b w:val="0"/>
          <w:sz w:val="32"/>
        </w:rPr>
        <w:t>授予中小企业合同金额3.57万元，占政府采购支出总额的100.00%，其中：授予小微企业合同金额3.57万元，占政府采购支出总额的100.00%。</w:t>
      </w:r>
    </w:p>
    <w:p w14:paraId="31656850">
      <w:pPr>
        <w:spacing w:line="640" w:lineRule="exact"/>
        <w:ind w:firstLine="640"/>
        <w:jc w:val="both"/>
        <w:outlineLvl w:val="3"/>
      </w:pPr>
      <w:r>
        <w:rPr>
          <w:rFonts w:ascii="楷体_GB2312" w:hAnsi="楷体_GB2312" w:eastAsia="楷体_GB2312"/>
          <w:b/>
          <w:sz w:val="32"/>
        </w:rPr>
        <w:t>（三）国有资产占用情况说明</w:t>
      </w:r>
    </w:p>
    <w:p w14:paraId="6CE4E50C">
      <w:pPr>
        <w:spacing w:line="580" w:lineRule="exact"/>
        <w:ind w:firstLine="640"/>
        <w:jc w:val="both"/>
      </w:pPr>
      <w:r>
        <w:rPr>
          <w:rFonts w:ascii="仿宋_GB2312" w:hAnsi="仿宋_GB2312" w:eastAsia="仿宋_GB2312"/>
          <w:b w:val="0"/>
          <w:sz w:val="32"/>
        </w:rPr>
        <w:t>截至2024年12月31日，房屋0.00平方米，价值0.00万元。车辆2辆，价值47.55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hAnsi="仿宋_GB2312" w:eastAsia="仿宋_GB2312"/>
          <w:b w:val="0"/>
          <w:sz w:val="32"/>
          <w:lang w:eastAsia="zh-CN"/>
        </w:rPr>
        <w:t>单位</w:t>
      </w:r>
      <w:r>
        <w:rPr>
          <w:rFonts w:ascii="仿宋_GB2312" w:hAnsi="仿宋_GB2312" w:eastAsia="仿宋_GB2312"/>
          <w:b w:val="0"/>
          <w:sz w:val="32"/>
        </w:rPr>
        <w:t>业务用车</w:t>
      </w:r>
      <w:r>
        <w:rPr>
          <w:rFonts w:hint="eastAsia" w:ascii="仿宋_GB2312" w:hAnsi="仿宋_GB2312" w:eastAsia="仿宋_GB2312"/>
          <w:b w:val="0"/>
          <w:sz w:val="32"/>
          <w:lang w:val="en-US" w:eastAsia="zh-CN"/>
        </w:rPr>
        <w:t>和一般公务用车</w:t>
      </w:r>
      <w:r>
        <w:rPr>
          <w:rFonts w:ascii="仿宋_GB2312" w:hAnsi="仿宋_GB2312" w:eastAsia="仿宋_GB2312"/>
          <w:b w:val="0"/>
          <w:sz w:val="32"/>
        </w:rPr>
        <w:t>。单价100万元（含）以上设备（不含车辆）0台（套）。</w:t>
      </w:r>
    </w:p>
    <w:p w14:paraId="47A3832B">
      <w:pPr>
        <w:spacing w:line="640" w:lineRule="exact"/>
        <w:ind w:firstLine="640"/>
        <w:jc w:val="both"/>
        <w:outlineLvl w:val="2"/>
      </w:pPr>
      <w:r>
        <w:rPr>
          <w:rFonts w:ascii="黑体" w:hAnsi="黑体" w:eastAsia="黑体"/>
          <w:sz w:val="32"/>
        </w:rPr>
        <w:t>十一、预算绩效的情况说明</w:t>
      </w:r>
    </w:p>
    <w:p w14:paraId="4C46C941">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335.41万元，实际执行总额424.48万元；预算绩效评价项目4个，全年预算数132.56万元，全年执行数132.32万元。预算绩效管理取得的成效：1.预算绩效管理基本制度框架不断完善。2.全方位预算绩效管理加快推动，3.</w:t>
      </w:r>
      <w:r>
        <w:rPr>
          <w:rFonts w:hint="eastAsia" w:ascii="仿宋_GB2312" w:hAnsi="仿宋_GB2312" w:eastAsia="仿宋_GB2312"/>
          <w:b w:val="0"/>
          <w:sz w:val="32"/>
          <w:lang w:eastAsia="zh-CN"/>
        </w:rPr>
        <w:t>预算绩效管理</w:t>
      </w:r>
      <w:r>
        <w:rPr>
          <w:rFonts w:ascii="仿宋_GB2312" w:hAnsi="仿宋_GB2312" w:eastAsia="仿宋_GB2312"/>
          <w:b w:val="0"/>
          <w:sz w:val="32"/>
        </w:rPr>
        <w:t>一体化不断推进。发现的问题及原因：1.绩效管理和预算管理工作没有结合起来，预算管理年初预算数与全年执行数有差距，预算调整较多，对绩效管理认识不足。2.绩效管理不够细化明确，对绩效监控组织、管理、实施方式等思路了解不够深入，不透彻。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48457ED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FC1B04F">
        <w:tblPrEx>
          <w:tblCellMar>
            <w:top w:w="0" w:type="dxa"/>
            <w:left w:w="108" w:type="dxa"/>
            <w:bottom w:w="0" w:type="dxa"/>
            <w:right w:w="108" w:type="dxa"/>
          </w:tblCellMar>
        </w:tblPrEx>
        <w:tc>
          <w:tcPr>
            <w:tcW w:w="8840" w:type="dxa"/>
            <w:gridSpan w:val="8"/>
            <w:vAlign w:val="center"/>
          </w:tcPr>
          <w:p w14:paraId="7DD28053">
            <w:pPr>
              <w:jc w:val="center"/>
            </w:pPr>
            <w:r>
              <w:rPr>
                <w:rFonts w:hint="eastAsia" w:ascii="宋体" w:hAnsi="宋体"/>
                <w:sz w:val="24"/>
                <w:lang w:eastAsia="zh-CN"/>
              </w:rPr>
              <w:t>单位</w:t>
            </w:r>
            <w:r>
              <w:rPr>
                <w:rFonts w:ascii="宋体" w:hAnsi="宋体" w:eastAsia="宋体"/>
                <w:sz w:val="24"/>
              </w:rPr>
              <w:t>整体支出绩效自评表</w:t>
            </w:r>
          </w:p>
        </w:tc>
      </w:tr>
      <w:tr w14:paraId="4E4C63E1">
        <w:tblPrEx>
          <w:tblCellMar>
            <w:top w:w="0" w:type="dxa"/>
            <w:left w:w="108" w:type="dxa"/>
            <w:bottom w:w="0" w:type="dxa"/>
            <w:right w:w="108" w:type="dxa"/>
          </w:tblCellMar>
        </w:tblPrEx>
        <w:tc>
          <w:tcPr>
            <w:tcW w:w="8840" w:type="dxa"/>
            <w:gridSpan w:val="8"/>
            <w:vAlign w:val="center"/>
          </w:tcPr>
          <w:p w14:paraId="0EAF5F79">
            <w:pPr>
              <w:jc w:val="center"/>
            </w:pPr>
            <w:r>
              <w:rPr>
                <w:rFonts w:ascii="宋体" w:hAnsi="宋体" w:eastAsia="宋体"/>
                <w:sz w:val="24"/>
              </w:rPr>
              <w:t>（2024年度）</w:t>
            </w:r>
          </w:p>
        </w:tc>
      </w:tr>
      <w:tr w14:paraId="699F15C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386EB">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106761">
            <w:pPr>
              <w:jc w:val="center"/>
            </w:pPr>
            <w:r>
              <w:rPr>
                <w:rFonts w:ascii="宋体" w:hAnsi="宋体" w:eastAsia="宋体"/>
                <w:sz w:val="16"/>
              </w:rPr>
              <w:t>特克斯县应急管理局</w:t>
            </w:r>
          </w:p>
        </w:tc>
      </w:tr>
      <w:tr w14:paraId="302FAC0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F203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94B2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06306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CB3EC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ABDEC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5B7B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3F7C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A7E24">
            <w:pPr>
              <w:jc w:val="center"/>
            </w:pPr>
            <w:r>
              <w:rPr>
                <w:rFonts w:ascii="宋体" w:hAnsi="宋体" w:eastAsia="宋体"/>
                <w:sz w:val="16"/>
              </w:rPr>
              <w:t>得分</w:t>
            </w:r>
          </w:p>
        </w:tc>
      </w:tr>
      <w:tr w14:paraId="47C98B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B3734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87DB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D8E43">
            <w:pPr>
              <w:jc w:val="center"/>
            </w:pPr>
            <w:r>
              <w:rPr>
                <w:rFonts w:ascii="宋体" w:hAnsi="宋体" w:eastAsia="宋体"/>
                <w:sz w:val="16"/>
              </w:rPr>
              <w:t>335.41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B3810C">
            <w:pPr>
              <w:jc w:val="center"/>
            </w:pPr>
            <w:r>
              <w:rPr>
                <w:rFonts w:ascii="宋体" w:hAnsi="宋体" w:eastAsia="宋体"/>
                <w:sz w:val="16"/>
              </w:rPr>
              <w:t>335.41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B47B4">
            <w:pPr>
              <w:jc w:val="center"/>
            </w:pPr>
            <w:r>
              <w:rPr>
                <w:rFonts w:ascii="宋体" w:hAnsi="宋体" w:eastAsia="宋体"/>
                <w:sz w:val="16"/>
              </w:rPr>
              <w:t>424.48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1AF2B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01215">
            <w:pPr>
              <w:jc w:val="center"/>
            </w:pPr>
            <w:r>
              <w:rPr>
                <w:rFonts w:ascii="宋体" w:hAnsi="宋体" w:eastAsia="宋体"/>
                <w:sz w:val="16"/>
              </w:rPr>
              <w:t>126.56%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3FB40">
            <w:pPr>
              <w:jc w:val="center"/>
            </w:pPr>
            <w:r>
              <w:rPr>
                <w:rFonts w:ascii="宋体" w:hAnsi="宋体" w:eastAsia="宋体"/>
                <w:sz w:val="16"/>
              </w:rPr>
              <w:t>10</w:t>
            </w:r>
          </w:p>
        </w:tc>
      </w:tr>
      <w:tr w14:paraId="29ED431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03CA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3075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0C70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11A1B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6F29A">
            <w:pPr>
              <w:jc w:val="center"/>
            </w:pPr>
            <w:r>
              <w:rPr>
                <w:rFonts w:ascii="宋体" w:hAnsi="宋体" w:eastAsia="宋体"/>
                <w:sz w:val="16"/>
              </w:rPr>
              <w:t>48.62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3BBA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0D3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B7F12">
            <w:pPr>
              <w:jc w:val="center"/>
            </w:pPr>
            <w:r>
              <w:rPr>
                <w:rFonts w:ascii="宋体" w:hAnsi="宋体" w:eastAsia="宋体"/>
                <w:sz w:val="16"/>
              </w:rPr>
              <w:t>-</w:t>
            </w:r>
          </w:p>
        </w:tc>
      </w:tr>
      <w:tr w14:paraId="0883CA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AE0FD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4240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CFD653">
            <w:pPr>
              <w:jc w:val="center"/>
            </w:pPr>
            <w:r>
              <w:rPr>
                <w:rFonts w:ascii="宋体" w:hAnsi="宋体" w:eastAsia="宋体"/>
                <w:sz w:val="16"/>
              </w:rPr>
              <w:t>333.25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C9728">
            <w:pPr>
              <w:jc w:val="center"/>
            </w:pPr>
            <w:r>
              <w:rPr>
                <w:rFonts w:ascii="宋体" w:hAnsi="宋体" w:eastAsia="宋体"/>
                <w:sz w:val="16"/>
              </w:rPr>
              <w:t>333.25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19DC3">
            <w:pPr>
              <w:jc w:val="center"/>
            </w:pPr>
            <w:r>
              <w:rPr>
                <w:rFonts w:ascii="宋体" w:hAnsi="宋体" w:eastAsia="宋体"/>
                <w:sz w:val="16"/>
              </w:rPr>
              <w:t>366.69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992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CDE3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7BBC7">
            <w:pPr>
              <w:jc w:val="center"/>
            </w:pPr>
            <w:r>
              <w:rPr>
                <w:rFonts w:ascii="宋体" w:hAnsi="宋体" w:eastAsia="宋体"/>
                <w:sz w:val="16"/>
              </w:rPr>
              <w:t>-</w:t>
            </w:r>
          </w:p>
        </w:tc>
      </w:tr>
      <w:tr w14:paraId="0FA1DC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4EAE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9CC3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9646E">
            <w:pPr>
              <w:jc w:val="center"/>
            </w:pPr>
            <w:r>
              <w:rPr>
                <w:rFonts w:ascii="宋体" w:hAnsi="宋体" w:eastAsia="宋体"/>
                <w:sz w:val="16"/>
              </w:rPr>
              <w:t>2.16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B41CA">
            <w:pPr>
              <w:jc w:val="center"/>
            </w:pPr>
            <w:r>
              <w:rPr>
                <w:rFonts w:ascii="宋体" w:hAnsi="宋体" w:eastAsia="宋体"/>
                <w:sz w:val="16"/>
              </w:rPr>
              <w:t>2.16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1DAB9">
            <w:pPr>
              <w:jc w:val="center"/>
            </w:pPr>
            <w:r>
              <w:rPr>
                <w:rFonts w:ascii="宋体" w:hAnsi="宋体" w:eastAsia="宋体"/>
                <w:sz w:val="16"/>
              </w:rPr>
              <w:t>9.17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592B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FA1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08A818">
            <w:pPr>
              <w:jc w:val="center"/>
            </w:pPr>
            <w:r>
              <w:rPr>
                <w:rFonts w:ascii="宋体" w:hAnsi="宋体" w:eastAsia="宋体"/>
                <w:sz w:val="16"/>
              </w:rPr>
              <w:t>-</w:t>
            </w:r>
          </w:p>
        </w:tc>
      </w:tr>
      <w:tr w14:paraId="726D925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DF39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5464A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84DF57">
            <w:pPr>
              <w:jc w:val="center"/>
            </w:pPr>
            <w:r>
              <w:rPr>
                <w:rFonts w:ascii="宋体" w:hAnsi="宋体" w:eastAsia="宋体"/>
                <w:sz w:val="16"/>
              </w:rPr>
              <w:t>实际完成情况</w:t>
            </w:r>
          </w:p>
        </w:tc>
      </w:tr>
      <w:tr w14:paraId="125CF7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44220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6116E9">
            <w:pPr>
              <w:jc w:val="both"/>
            </w:pPr>
            <w:r>
              <w:rPr>
                <w:rFonts w:ascii="宋体" w:hAnsi="宋体" w:eastAsia="宋体"/>
                <w:sz w:val="16"/>
              </w:rPr>
              <w:t>深入贯彻落实习近平总书记关于安全生产工作的重要论述和</w:t>
            </w:r>
            <w:r>
              <w:rPr>
                <w:rFonts w:hint="eastAsia" w:ascii="宋体" w:hAnsi="宋体"/>
                <w:sz w:val="16"/>
                <w:lang w:eastAsia="zh-CN"/>
              </w:rPr>
              <w:t>指示批示精神</w:t>
            </w:r>
            <w:r>
              <w:rPr>
                <w:rFonts w:ascii="宋体" w:hAnsi="宋体" w:eastAsia="宋体"/>
                <w:sz w:val="16"/>
              </w:rPr>
              <w:t>，一、理清工作思路，压紧安全责任，健全制度规范，强化治本攻坚，有效实现本质安全水平大的提升，确保2024年不发生较大及以上安全生产事故。二、提高违法成本，强化隐患排查治理，有效主动接受</w:t>
            </w:r>
            <w:r>
              <w:rPr>
                <w:rFonts w:hint="eastAsia" w:ascii="宋体" w:hAnsi="宋体"/>
                <w:sz w:val="16"/>
                <w:lang w:eastAsia="zh-CN"/>
              </w:rPr>
              <w:t>社会</w:t>
            </w:r>
            <w:r>
              <w:rPr>
                <w:rFonts w:ascii="宋体" w:hAnsi="宋体" w:eastAsia="宋体"/>
                <w:sz w:val="16"/>
              </w:rPr>
              <w:t>监督，及时回应社会关切，确保行政执法工作有章可循，有法可依。</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3086A4">
            <w:pPr>
              <w:jc w:val="both"/>
            </w:pPr>
            <w:r>
              <w:rPr>
                <w:rFonts w:ascii="宋体" w:hAnsi="宋体" w:eastAsia="宋体"/>
                <w:sz w:val="16"/>
              </w:rPr>
              <w:t>2024年重点领域分析研判4次，全年没有发生安全生产事故，安全生产执法典型案例4次，安全生产培训4次，应急叫应机制“最后一公里”积极响应，应急管理各项工作有序开展。</w:t>
            </w:r>
          </w:p>
        </w:tc>
      </w:tr>
      <w:tr w14:paraId="6A486C8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241C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62C7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BAE2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A5BB7">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E932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F2CB2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CB28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3BD2E">
            <w:pPr>
              <w:jc w:val="center"/>
            </w:pPr>
            <w:r>
              <w:rPr>
                <w:rFonts w:ascii="宋体" w:hAnsi="宋体" w:eastAsia="宋体"/>
                <w:sz w:val="16"/>
              </w:rPr>
              <w:t>得分</w:t>
            </w:r>
          </w:p>
        </w:tc>
      </w:tr>
      <w:tr w14:paraId="0EDC319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DEA5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64DE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56046">
            <w:pPr>
              <w:jc w:val="center"/>
            </w:pPr>
            <w:r>
              <w:rPr>
                <w:rFonts w:ascii="宋体" w:hAnsi="宋体" w:eastAsia="宋体"/>
                <w:sz w:val="16"/>
              </w:rPr>
              <w:t>重点领域分析研判</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B45461">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74F306">
            <w:pPr>
              <w:jc w:val="center"/>
            </w:pPr>
            <w:r>
              <w:rPr>
                <w:rFonts w:ascii="宋体" w:hAnsi="宋体" w:eastAsia="宋体"/>
                <w:sz w:val="16"/>
              </w:rPr>
              <w:t>特克斯县人民政府工作报告、特克斯县安全生产2024年工作思路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3866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A7A24">
            <w:pPr>
              <w:jc w:val="center"/>
            </w:pPr>
            <w:r>
              <w:rPr>
                <w:rFonts w:ascii="宋体" w:hAnsi="宋体" w:eastAsia="宋体"/>
                <w:sz w:val="16"/>
              </w:rPr>
              <w:tab/>
            </w: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687F5">
            <w:pPr>
              <w:jc w:val="center"/>
            </w:pPr>
            <w:r>
              <w:rPr>
                <w:rFonts w:ascii="宋体" w:hAnsi="宋体" w:eastAsia="宋体"/>
                <w:sz w:val="16"/>
              </w:rPr>
              <w:t>20</w:t>
            </w:r>
          </w:p>
        </w:tc>
      </w:tr>
      <w:tr w14:paraId="1F0C1C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70454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E219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25C81">
            <w:pPr>
              <w:jc w:val="center"/>
            </w:pPr>
            <w:r>
              <w:rPr>
                <w:rFonts w:ascii="宋体" w:hAnsi="宋体" w:eastAsia="宋体"/>
                <w:sz w:val="16"/>
              </w:rPr>
              <w:t>安全生产事故</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DC897">
            <w:pPr>
              <w:jc w:val="center"/>
            </w:pPr>
            <w:r>
              <w:rPr>
                <w:rFonts w:ascii="宋体" w:hAnsi="宋体" w:eastAsia="宋体"/>
                <w:sz w:val="16"/>
              </w:rPr>
              <w:t>&lt;=0起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D9234E">
            <w:pPr>
              <w:jc w:val="center"/>
            </w:pPr>
            <w:r>
              <w:rPr>
                <w:rFonts w:ascii="宋体" w:hAnsi="宋体" w:eastAsia="宋体"/>
                <w:sz w:val="16"/>
              </w:rPr>
              <w:t>特克斯县人民政府工作报告、特克斯县安全生产2024年工作思路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FA89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85AAD1">
            <w:pPr>
              <w:jc w:val="center"/>
            </w:pPr>
            <w:r>
              <w:rPr>
                <w:rFonts w:ascii="宋体" w:hAnsi="宋体" w:eastAsia="宋体"/>
                <w:sz w:val="16"/>
              </w:rPr>
              <w:tab/>
            </w:r>
            <w:r>
              <w:rPr>
                <w:rFonts w:ascii="宋体" w:hAnsi="宋体" w:eastAsia="宋体"/>
                <w:sz w:val="16"/>
              </w:rPr>
              <w:t>0起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907EC">
            <w:pPr>
              <w:jc w:val="center"/>
            </w:pPr>
            <w:r>
              <w:rPr>
                <w:rFonts w:ascii="宋体" w:hAnsi="宋体" w:eastAsia="宋体"/>
                <w:sz w:val="16"/>
              </w:rPr>
              <w:t>10</w:t>
            </w:r>
          </w:p>
        </w:tc>
      </w:tr>
      <w:tr w14:paraId="69B390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CC0E1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F5DD3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513C85">
            <w:pPr>
              <w:jc w:val="center"/>
            </w:pPr>
            <w:r>
              <w:rPr>
                <w:rFonts w:ascii="宋体" w:hAnsi="宋体" w:eastAsia="宋体"/>
                <w:sz w:val="16"/>
              </w:rPr>
              <w:t>安全生产执法典型</w:t>
            </w:r>
            <w:r>
              <w:rPr>
                <w:rFonts w:hint="eastAsia" w:ascii="宋体" w:hAnsi="宋体"/>
                <w:sz w:val="16"/>
                <w:lang w:eastAsia="zh-CN"/>
              </w:rPr>
              <w:t>案例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77AAE7">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63AA5">
            <w:pPr>
              <w:jc w:val="center"/>
            </w:pPr>
            <w:r>
              <w:rPr>
                <w:rFonts w:ascii="宋体" w:hAnsi="宋体" w:eastAsia="宋体"/>
                <w:sz w:val="16"/>
              </w:rPr>
              <w:t>特克斯县人民政府工作报告、特克斯县安全生产2024年工作思路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AA82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D0534">
            <w:pPr>
              <w:jc w:val="center"/>
            </w:pPr>
            <w:r>
              <w:rPr>
                <w:rFonts w:ascii="宋体" w:hAnsi="宋体" w:eastAsia="宋体"/>
                <w:sz w:val="16"/>
              </w:rPr>
              <w:tab/>
            </w: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9477BE">
            <w:pPr>
              <w:jc w:val="center"/>
            </w:pPr>
            <w:r>
              <w:rPr>
                <w:rFonts w:ascii="宋体" w:hAnsi="宋体" w:eastAsia="宋体"/>
                <w:sz w:val="16"/>
              </w:rPr>
              <w:t>20</w:t>
            </w:r>
          </w:p>
        </w:tc>
      </w:tr>
      <w:tr w14:paraId="109B23C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236FD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B2A9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692F22">
            <w:pPr>
              <w:jc w:val="center"/>
            </w:pPr>
            <w:r>
              <w:rPr>
                <w:rFonts w:ascii="宋体" w:hAnsi="宋体" w:eastAsia="宋体"/>
                <w:sz w:val="16"/>
              </w:rPr>
              <w:t>安全生产执法培训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3ADDE">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22556">
            <w:pPr>
              <w:jc w:val="center"/>
            </w:pPr>
            <w:r>
              <w:rPr>
                <w:rFonts w:ascii="宋体" w:hAnsi="宋体" w:eastAsia="宋体"/>
                <w:sz w:val="16"/>
              </w:rPr>
              <w:t>特克斯县人民政府工作报告、特克斯县安全生产2024年工作思路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0D05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8D70AA">
            <w:pPr>
              <w:jc w:val="center"/>
            </w:pPr>
            <w:r>
              <w:rPr>
                <w:rFonts w:ascii="宋体" w:hAnsi="宋体" w:eastAsia="宋体"/>
                <w:sz w:val="16"/>
              </w:rPr>
              <w:tab/>
            </w: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AFE8F">
            <w:pPr>
              <w:jc w:val="center"/>
            </w:pPr>
            <w:r>
              <w:rPr>
                <w:rFonts w:ascii="宋体" w:hAnsi="宋体" w:eastAsia="宋体"/>
                <w:sz w:val="16"/>
              </w:rPr>
              <w:t>20</w:t>
            </w:r>
          </w:p>
        </w:tc>
      </w:tr>
      <w:tr w14:paraId="7A2273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07C60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3285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DCFE6">
            <w:pPr>
              <w:jc w:val="center"/>
            </w:pPr>
            <w:r>
              <w:rPr>
                <w:rFonts w:ascii="宋体" w:hAnsi="宋体" w:eastAsia="宋体"/>
                <w:sz w:val="16"/>
              </w:rPr>
              <w:t>应急叫应机制“最后一公里”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209BCE">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70B87">
            <w:pPr>
              <w:jc w:val="center"/>
            </w:pPr>
            <w:r>
              <w:rPr>
                <w:rFonts w:ascii="宋体" w:hAnsi="宋体" w:eastAsia="宋体"/>
                <w:sz w:val="16"/>
              </w:rPr>
              <w:t>特克斯县人民政府工作报告、特克斯县安全生产2024年工作思路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FCDF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CA69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37A6F">
            <w:pPr>
              <w:jc w:val="center"/>
            </w:pPr>
            <w:r>
              <w:rPr>
                <w:rFonts w:ascii="宋体" w:hAnsi="宋体" w:eastAsia="宋体"/>
                <w:sz w:val="16"/>
              </w:rPr>
              <w:t>20</w:t>
            </w:r>
          </w:p>
        </w:tc>
      </w:tr>
    </w:tbl>
    <w:p w14:paraId="43C8FB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2B61555F">
        <w:tblPrEx>
          <w:tblCellMar>
            <w:top w:w="0" w:type="dxa"/>
            <w:left w:w="108" w:type="dxa"/>
            <w:bottom w:w="0" w:type="dxa"/>
            <w:right w:w="108" w:type="dxa"/>
          </w:tblCellMar>
        </w:tblPrEx>
        <w:tc>
          <w:tcPr>
            <w:tcW w:w="8848" w:type="dxa"/>
            <w:gridSpan w:val="14"/>
            <w:vAlign w:val="center"/>
          </w:tcPr>
          <w:p w14:paraId="301FD2D1">
            <w:pPr>
              <w:jc w:val="center"/>
            </w:pPr>
            <w:r>
              <w:rPr>
                <w:rFonts w:ascii="宋体" w:hAnsi="宋体" w:eastAsia="宋体"/>
                <w:sz w:val="24"/>
              </w:rPr>
              <w:t>项目支出绩效自评表</w:t>
            </w:r>
          </w:p>
        </w:tc>
      </w:tr>
      <w:tr w14:paraId="12CECD3B">
        <w:tblPrEx>
          <w:tblCellMar>
            <w:top w:w="0" w:type="dxa"/>
            <w:left w:w="108" w:type="dxa"/>
            <w:bottom w:w="0" w:type="dxa"/>
            <w:right w:w="108" w:type="dxa"/>
          </w:tblCellMar>
        </w:tblPrEx>
        <w:tc>
          <w:tcPr>
            <w:tcW w:w="8848" w:type="dxa"/>
            <w:gridSpan w:val="14"/>
            <w:vAlign w:val="center"/>
          </w:tcPr>
          <w:p w14:paraId="1FA0D1BE">
            <w:pPr>
              <w:jc w:val="center"/>
            </w:pPr>
            <w:r>
              <w:rPr>
                <w:rFonts w:ascii="宋体" w:hAnsi="宋体" w:eastAsia="宋体"/>
                <w:sz w:val="24"/>
              </w:rPr>
              <w:t>(2024年度)</w:t>
            </w:r>
          </w:p>
        </w:tc>
      </w:tr>
      <w:tr w14:paraId="1D7825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A0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C68BAB">
            <w:pPr>
              <w:jc w:val="center"/>
            </w:pPr>
            <w:r>
              <w:rPr>
                <w:rFonts w:ascii="宋体" w:hAnsi="宋体" w:eastAsia="宋体"/>
                <w:sz w:val="16"/>
              </w:rPr>
              <w:t>伊州财建</w:t>
            </w:r>
            <w:r>
              <w:rPr>
                <w:rFonts w:hint="eastAsia" w:ascii="宋体" w:hAnsi="宋体"/>
                <w:sz w:val="16"/>
                <w:lang w:eastAsia="zh-CN"/>
              </w:rPr>
              <w:t>〔2023〕169号</w:t>
            </w:r>
            <w:r>
              <w:rPr>
                <w:rFonts w:ascii="宋体" w:hAnsi="宋体" w:eastAsia="宋体"/>
                <w:sz w:val="16"/>
              </w:rPr>
              <w:t>煤矿及重点非煤矿山重大灾害风险防控</w:t>
            </w:r>
          </w:p>
        </w:tc>
      </w:tr>
      <w:tr w14:paraId="03821C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89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86A6D2">
            <w:pPr>
              <w:jc w:val="center"/>
            </w:pPr>
            <w:r>
              <w:rPr>
                <w:rFonts w:ascii="宋体" w:hAnsi="宋体" w:eastAsia="宋体"/>
                <w:sz w:val="16"/>
              </w:rPr>
              <w:t>特克斯县应急管理局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4B7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F9AC26">
            <w:pPr>
              <w:jc w:val="center"/>
            </w:pPr>
            <w:r>
              <w:rPr>
                <w:rFonts w:ascii="宋体" w:hAnsi="宋体" w:eastAsia="宋体"/>
                <w:sz w:val="16"/>
              </w:rPr>
              <w:t>特克斯县应急管理局</w:t>
            </w:r>
          </w:p>
        </w:tc>
      </w:tr>
      <w:tr w14:paraId="4FC47C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BA2A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477A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6A8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CDD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FE0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732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D7E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AABF">
            <w:pPr>
              <w:jc w:val="center"/>
            </w:pPr>
            <w:r>
              <w:rPr>
                <w:rFonts w:ascii="宋体" w:hAnsi="宋体" w:eastAsia="宋体"/>
                <w:sz w:val="16"/>
              </w:rPr>
              <w:t>得分</w:t>
            </w:r>
          </w:p>
        </w:tc>
      </w:tr>
      <w:tr w14:paraId="18B2E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422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6A7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762A6">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C666">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22243">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DD2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597F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3EE0">
            <w:pPr>
              <w:jc w:val="center"/>
            </w:pPr>
            <w:r>
              <w:rPr>
                <w:rFonts w:ascii="宋体" w:hAnsi="宋体" w:eastAsia="宋体"/>
                <w:sz w:val="16"/>
              </w:rPr>
              <w:t>10.00</w:t>
            </w:r>
          </w:p>
        </w:tc>
      </w:tr>
      <w:tr w14:paraId="73DA5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B23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89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40B48">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76D43">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9B860">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DF4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25B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23D6">
            <w:pPr>
              <w:jc w:val="center"/>
            </w:pPr>
            <w:r>
              <w:rPr>
                <w:rFonts w:ascii="宋体" w:hAnsi="宋体" w:eastAsia="宋体"/>
                <w:sz w:val="16"/>
              </w:rPr>
              <w:t>—</w:t>
            </w:r>
          </w:p>
        </w:tc>
      </w:tr>
      <w:tr w14:paraId="007F5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6FD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EE4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B44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21C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4E2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382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A3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1616">
            <w:pPr>
              <w:jc w:val="center"/>
            </w:pPr>
            <w:r>
              <w:rPr>
                <w:rFonts w:ascii="宋体" w:hAnsi="宋体" w:eastAsia="宋体"/>
                <w:sz w:val="16"/>
              </w:rPr>
              <w:t>—</w:t>
            </w:r>
          </w:p>
        </w:tc>
      </w:tr>
      <w:tr w14:paraId="7DEAD2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7DE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1B9E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7D96C0">
            <w:pPr>
              <w:jc w:val="center"/>
            </w:pPr>
            <w:r>
              <w:rPr>
                <w:rFonts w:ascii="宋体" w:hAnsi="宋体" w:eastAsia="宋体"/>
                <w:sz w:val="16"/>
              </w:rPr>
              <w:t>实际完成情况</w:t>
            </w:r>
          </w:p>
        </w:tc>
      </w:tr>
      <w:tr w14:paraId="1C851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B3E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E49E9D">
            <w:pPr>
              <w:jc w:val="both"/>
            </w:pPr>
            <w:r>
              <w:rPr>
                <w:rFonts w:ascii="宋体" w:hAnsi="宋体" w:eastAsia="宋体"/>
                <w:sz w:val="16"/>
              </w:rPr>
              <w:t>通过支持建设纳入全国性系统的AI视频智能辅助监管监察系统，提升矿山数字化、智能化安全生产预防和监管水平。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5BD66E">
            <w:pPr>
              <w:jc w:val="both"/>
            </w:pPr>
            <w:r>
              <w:rPr>
                <w:rFonts w:ascii="宋体" w:hAnsi="宋体" w:eastAsia="宋体"/>
                <w:sz w:val="16"/>
              </w:rPr>
              <w:t>支付特克斯县玉金矿业有限责任公司补助31万元整。</w:t>
            </w:r>
          </w:p>
        </w:tc>
      </w:tr>
      <w:tr w14:paraId="12039F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9E0A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F5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C4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80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5B1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F53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C0D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9B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FA7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0D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49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7B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17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42E9">
            <w:pPr>
              <w:jc w:val="center"/>
            </w:pPr>
            <w:r>
              <w:rPr>
                <w:rFonts w:ascii="宋体" w:hAnsi="宋体" w:eastAsia="宋体"/>
                <w:sz w:val="16"/>
              </w:rPr>
              <w:t>偏差原因分析及改进措施</w:t>
            </w:r>
          </w:p>
        </w:tc>
      </w:tr>
      <w:tr w14:paraId="02F9DE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D9C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3030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10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5434">
            <w:pPr>
              <w:jc w:val="center"/>
            </w:pPr>
            <w:r>
              <w:rPr>
                <w:rFonts w:ascii="宋体" w:hAnsi="宋体" w:eastAsia="宋体"/>
                <w:sz w:val="16"/>
              </w:rPr>
              <w:t>重点非煤矿山视频智能监控子系统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DF6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87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A7C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69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390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F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75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DA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95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D975">
            <w:pPr>
              <w:jc w:val="center"/>
            </w:pPr>
          </w:p>
        </w:tc>
      </w:tr>
      <w:tr w14:paraId="6FB87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1E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B73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57D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6245">
            <w:pPr>
              <w:jc w:val="center"/>
            </w:pPr>
            <w:r>
              <w:rPr>
                <w:rFonts w:ascii="宋体" w:hAnsi="宋体" w:eastAsia="宋体"/>
                <w:sz w:val="16"/>
              </w:rPr>
              <w:t>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141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11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C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3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21F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A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8A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D8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8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249C">
            <w:pPr>
              <w:jc w:val="center"/>
            </w:pPr>
          </w:p>
        </w:tc>
      </w:tr>
      <w:tr w14:paraId="33635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4C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EA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4A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01F7">
            <w:pPr>
              <w:jc w:val="center"/>
            </w:pPr>
            <w:r>
              <w:rPr>
                <w:rFonts w:ascii="宋体" w:hAnsi="宋体" w:eastAsia="宋体"/>
                <w:sz w:val="16"/>
              </w:rPr>
              <w:t>联网在线率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2BF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4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1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3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3C3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43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EB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4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B6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BE4F">
            <w:pPr>
              <w:jc w:val="center"/>
            </w:pPr>
          </w:p>
        </w:tc>
      </w:tr>
      <w:tr w14:paraId="1B498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E8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1C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20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B26E">
            <w:pPr>
              <w:jc w:val="center"/>
            </w:pPr>
            <w:r>
              <w:rPr>
                <w:rFonts w:ascii="宋体" w:hAnsi="宋体" w:eastAsia="宋体"/>
                <w:sz w:val="16"/>
              </w:rPr>
              <w:t>进度完成率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4B6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E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6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2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3DF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F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1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CB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F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644E">
            <w:pPr>
              <w:jc w:val="center"/>
            </w:pPr>
          </w:p>
        </w:tc>
      </w:tr>
      <w:tr w14:paraId="0B7E8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2F9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993D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224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58CF">
            <w:pPr>
              <w:jc w:val="center"/>
            </w:pPr>
            <w:r>
              <w:rPr>
                <w:rFonts w:ascii="宋体" w:hAnsi="宋体" w:eastAsia="宋体"/>
                <w:sz w:val="16"/>
              </w:rPr>
              <w:t>矿山安全风险防控水平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98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EAD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EEC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C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22A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31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91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05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2E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F913">
            <w:pPr>
              <w:jc w:val="center"/>
            </w:pPr>
          </w:p>
        </w:tc>
      </w:tr>
      <w:tr w14:paraId="4E4BF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A8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83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9A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1B6A">
            <w:pPr>
              <w:jc w:val="center"/>
            </w:pPr>
            <w:r>
              <w:rPr>
                <w:rFonts w:ascii="宋体" w:hAnsi="宋体" w:eastAsia="宋体"/>
                <w:sz w:val="16"/>
              </w:rPr>
              <w:t>矿山安全监管监察效能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A8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E56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541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B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FC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0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E4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0D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F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F7B4">
            <w:pPr>
              <w:jc w:val="center"/>
            </w:pPr>
          </w:p>
        </w:tc>
      </w:tr>
      <w:tr w14:paraId="496FD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E7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CE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F8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96DA">
            <w:pPr>
              <w:jc w:val="center"/>
            </w:pPr>
            <w:r>
              <w:rPr>
                <w:rFonts w:ascii="宋体" w:hAnsi="宋体" w:eastAsia="宋体"/>
                <w:sz w:val="16"/>
              </w:rPr>
              <w:t>服务对象满意度指标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FE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D6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B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BC3B">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67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D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6A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6A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C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BF2C">
            <w:pPr>
              <w:jc w:val="center"/>
            </w:pPr>
            <w:r>
              <w:rPr>
                <w:rFonts w:ascii="宋体" w:hAnsi="宋体" w:eastAsia="宋体"/>
                <w:sz w:val="16"/>
              </w:rPr>
              <w:t>指标估算不精准，下一步需精准数据填报。</w:t>
            </w:r>
          </w:p>
        </w:tc>
      </w:tr>
      <w:tr w14:paraId="33DBBC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D4DF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6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B5AE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EE2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7A5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D83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7697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EF2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F5B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7AD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971667"/>
        </w:tc>
      </w:tr>
    </w:tbl>
    <w:p w14:paraId="51DE65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4EAE1D7">
        <w:tblPrEx>
          <w:tblCellMar>
            <w:top w:w="0" w:type="dxa"/>
            <w:left w:w="108" w:type="dxa"/>
            <w:bottom w:w="0" w:type="dxa"/>
            <w:right w:w="108" w:type="dxa"/>
          </w:tblCellMar>
        </w:tblPrEx>
        <w:tc>
          <w:tcPr>
            <w:tcW w:w="8848" w:type="dxa"/>
            <w:gridSpan w:val="14"/>
            <w:vAlign w:val="center"/>
          </w:tcPr>
          <w:p w14:paraId="5492BF3D">
            <w:pPr>
              <w:jc w:val="center"/>
            </w:pPr>
            <w:r>
              <w:rPr>
                <w:rFonts w:ascii="宋体" w:hAnsi="宋体" w:eastAsia="宋体"/>
                <w:sz w:val="24"/>
              </w:rPr>
              <w:t>项目支出绩效自评表</w:t>
            </w:r>
          </w:p>
        </w:tc>
      </w:tr>
      <w:tr w14:paraId="3966E42A">
        <w:tblPrEx>
          <w:tblCellMar>
            <w:top w:w="0" w:type="dxa"/>
            <w:left w:w="108" w:type="dxa"/>
            <w:bottom w:w="0" w:type="dxa"/>
            <w:right w:w="108" w:type="dxa"/>
          </w:tblCellMar>
        </w:tblPrEx>
        <w:tc>
          <w:tcPr>
            <w:tcW w:w="8848" w:type="dxa"/>
            <w:gridSpan w:val="14"/>
            <w:vAlign w:val="center"/>
          </w:tcPr>
          <w:p w14:paraId="54E6E939">
            <w:pPr>
              <w:jc w:val="center"/>
            </w:pPr>
            <w:r>
              <w:rPr>
                <w:rFonts w:ascii="宋体" w:hAnsi="宋体" w:eastAsia="宋体"/>
                <w:sz w:val="24"/>
              </w:rPr>
              <w:t>(2024年度)</w:t>
            </w:r>
          </w:p>
        </w:tc>
      </w:tr>
      <w:tr w14:paraId="232A37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D3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406A80">
            <w:pPr>
              <w:jc w:val="center"/>
            </w:pPr>
            <w:r>
              <w:rPr>
                <w:rFonts w:ascii="宋体" w:hAnsi="宋体" w:eastAsia="宋体"/>
                <w:sz w:val="16"/>
              </w:rPr>
              <w:t>保障全县地震工作开展</w:t>
            </w:r>
          </w:p>
        </w:tc>
      </w:tr>
      <w:tr w14:paraId="704828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25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D3F4B">
            <w:pPr>
              <w:jc w:val="center"/>
            </w:pPr>
            <w:r>
              <w:rPr>
                <w:rFonts w:ascii="宋体" w:hAnsi="宋体" w:eastAsia="宋体"/>
                <w:sz w:val="16"/>
              </w:rPr>
              <w:t>特克斯县应急管理局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783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3A4C2">
            <w:pPr>
              <w:jc w:val="center"/>
            </w:pPr>
            <w:r>
              <w:rPr>
                <w:rFonts w:ascii="宋体" w:hAnsi="宋体" w:eastAsia="宋体"/>
                <w:sz w:val="16"/>
              </w:rPr>
              <w:t>特克斯县应急管理局</w:t>
            </w:r>
          </w:p>
        </w:tc>
      </w:tr>
      <w:tr w14:paraId="09D5C4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8248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013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663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528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5A5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6F0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956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E762">
            <w:pPr>
              <w:jc w:val="center"/>
            </w:pPr>
            <w:r>
              <w:rPr>
                <w:rFonts w:ascii="宋体" w:hAnsi="宋体" w:eastAsia="宋体"/>
                <w:sz w:val="16"/>
              </w:rPr>
              <w:t>得分</w:t>
            </w:r>
          </w:p>
        </w:tc>
      </w:tr>
      <w:tr w14:paraId="4E2AB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67D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DA2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C0E3F">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E3667">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9CDC1">
            <w:pPr>
              <w:jc w:val="center"/>
            </w:pPr>
            <w:r>
              <w:rPr>
                <w:rFonts w:ascii="宋体" w:hAnsi="宋体" w:eastAsia="宋体"/>
                <w:sz w:val="16"/>
              </w:rPr>
              <w:t>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BD4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49DA8">
            <w:pPr>
              <w:jc w:val="center"/>
            </w:pPr>
            <w:r>
              <w:rPr>
                <w:rFonts w:ascii="宋体" w:hAnsi="宋体" w:eastAsia="宋体"/>
                <w:sz w:val="16"/>
              </w:rPr>
              <w:t>88.89%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37A1">
            <w:pPr>
              <w:jc w:val="center"/>
            </w:pPr>
            <w:r>
              <w:rPr>
                <w:rFonts w:ascii="宋体" w:hAnsi="宋体" w:eastAsia="宋体"/>
                <w:sz w:val="16"/>
              </w:rPr>
              <w:t>7.22</w:t>
            </w:r>
          </w:p>
        </w:tc>
      </w:tr>
      <w:tr w14:paraId="2D261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E6C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E2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5AD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0C6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547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843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A4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6280">
            <w:pPr>
              <w:jc w:val="center"/>
            </w:pPr>
            <w:r>
              <w:rPr>
                <w:rFonts w:ascii="宋体" w:hAnsi="宋体" w:eastAsia="宋体"/>
                <w:sz w:val="16"/>
              </w:rPr>
              <w:t>—</w:t>
            </w:r>
          </w:p>
        </w:tc>
      </w:tr>
      <w:tr w14:paraId="07C61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BCA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7CC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4B732">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83AF5">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BAA83">
            <w:pPr>
              <w:jc w:val="center"/>
            </w:pPr>
            <w:r>
              <w:rPr>
                <w:rFonts w:ascii="宋体" w:hAnsi="宋体" w:eastAsia="宋体"/>
                <w:sz w:val="16"/>
              </w:rPr>
              <w:t>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28A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D73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2F1A">
            <w:pPr>
              <w:jc w:val="center"/>
            </w:pPr>
            <w:r>
              <w:rPr>
                <w:rFonts w:ascii="宋体" w:hAnsi="宋体" w:eastAsia="宋体"/>
                <w:sz w:val="16"/>
              </w:rPr>
              <w:t>—</w:t>
            </w:r>
          </w:p>
        </w:tc>
      </w:tr>
      <w:tr w14:paraId="42D95C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BFF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2BC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8A7053">
            <w:pPr>
              <w:jc w:val="center"/>
            </w:pPr>
            <w:r>
              <w:rPr>
                <w:rFonts w:ascii="宋体" w:hAnsi="宋体" w:eastAsia="宋体"/>
                <w:sz w:val="16"/>
              </w:rPr>
              <w:t>实际完成情况</w:t>
            </w:r>
          </w:p>
        </w:tc>
      </w:tr>
      <w:tr w14:paraId="386DA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ADA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B45E81">
            <w:pPr>
              <w:jc w:val="both"/>
            </w:pPr>
            <w:r>
              <w:rPr>
                <w:rFonts w:ascii="宋体" w:hAnsi="宋体" w:eastAsia="宋体"/>
                <w:sz w:val="16"/>
              </w:rPr>
              <w:t>保障全县地震工作。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C97A97">
            <w:pPr>
              <w:jc w:val="both"/>
            </w:pPr>
            <w:r>
              <w:rPr>
                <w:rFonts w:ascii="宋体" w:hAnsi="宋体" w:eastAsia="宋体"/>
                <w:sz w:val="16"/>
              </w:rPr>
              <w:t>发放8个观测员工资，合计金额19200元。</w:t>
            </w:r>
          </w:p>
        </w:tc>
      </w:tr>
      <w:tr w14:paraId="58B08D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348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4E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1F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3C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4C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319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771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31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FC5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FA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00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11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A81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8996">
            <w:pPr>
              <w:jc w:val="center"/>
            </w:pPr>
            <w:r>
              <w:rPr>
                <w:rFonts w:ascii="宋体" w:hAnsi="宋体" w:eastAsia="宋体"/>
                <w:sz w:val="16"/>
              </w:rPr>
              <w:t>偏差原因分析及改进措施</w:t>
            </w:r>
          </w:p>
        </w:tc>
      </w:tr>
      <w:tr w14:paraId="13274E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189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B881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95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D148">
            <w:pPr>
              <w:jc w:val="center"/>
            </w:pPr>
            <w:r>
              <w:rPr>
                <w:rFonts w:ascii="宋体" w:hAnsi="宋体" w:eastAsia="宋体"/>
                <w:sz w:val="16"/>
              </w:rPr>
              <w:t>发放人员工资人数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7E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9C87">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E4E4">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F5C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F6B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1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A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6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C4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BB27">
            <w:pPr>
              <w:jc w:val="center"/>
            </w:pPr>
            <w:r>
              <w:rPr>
                <w:rFonts w:ascii="宋体" w:hAnsi="宋体" w:eastAsia="宋体"/>
                <w:sz w:val="16"/>
              </w:rPr>
              <w:t>经自查发现，1人不符合发放标准，下一步计划精准核算数据。</w:t>
            </w:r>
          </w:p>
        </w:tc>
      </w:tr>
      <w:tr w14:paraId="2EC06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29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172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BBD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C9B8">
            <w:pPr>
              <w:jc w:val="center"/>
            </w:pPr>
            <w:r>
              <w:rPr>
                <w:rFonts w:ascii="宋体" w:hAnsi="宋体" w:eastAsia="宋体"/>
                <w:sz w:val="16"/>
              </w:rPr>
              <w:t>支付使用率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6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9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057A">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F4B5">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AE35">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D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D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14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532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9276">
            <w:pPr>
              <w:jc w:val="center"/>
            </w:pPr>
            <w:r>
              <w:rPr>
                <w:rFonts w:ascii="宋体" w:hAnsi="宋体" w:eastAsia="宋体"/>
                <w:sz w:val="16"/>
              </w:rPr>
              <w:t>经自查发现，1人不符合发放标准。经自查发现，1人不符合发放标准，下一步计划精准核算数据。</w:t>
            </w:r>
          </w:p>
        </w:tc>
      </w:tr>
      <w:tr w14:paraId="77B70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99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09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01C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C5C5">
            <w:pPr>
              <w:jc w:val="center"/>
            </w:pPr>
            <w:r>
              <w:rPr>
                <w:rFonts w:ascii="宋体" w:hAnsi="宋体" w:eastAsia="宋体"/>
                <w:sz w:val="16"/>
              </w:rPr>
              <w:t>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50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4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FA2A">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345D">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C1AA">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47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A1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4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D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53F3">
            <w:pPr>
              <w:jc w:val="center"/>
            </w:pPr>
            <w:r>
              <w:rPr>
                <w:rFonts w:ascii="宋体" w:hAnsi="宋体" w:eastAsia="宋体"/>
                <w:sz w:val="16"/>
              </w:rPr>
              <w:t>经自查发现，1人不符合发放标准。经自查发现，1人不符合发放标准，下一步计划精准核算数据。</w:t>
            </w:r>
          </w:p>
        </w:tc>
      </w:tr>
      <w:tr w14:paraId="5F971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51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BC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346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E359">
            <w:pPr>
              <w:jc w:val="center"/>
            </w:pPr>
            <w:r>
              <w:rPr>
                <w:rFonts w:ascii="宋体" w:hAnsi="宋体" w:eastAsia="宋体"/>
                <w:sz w:val="16"/>
              </w:rPr>
              <w:t>资金支付时限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54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B3E1">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7FB1">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73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2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1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8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6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A4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A9C0">
            <w:pPr>
              <w:jc w:val="center"/>
            </w:pPr>
          </w:p>
        </w:tc>
      </w:tr>
      <w:tr w14:paraId="10883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C54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8E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66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A493">
            <w:pPr>
              <w:jc w:val="center"/>
            </w:pPr>
            <w:r>
              <w:rPr>
                <w:rFonts w:ascii="宋体" w:hAnsi="宋体" w:eastAsia="宋体"/>
                <w:sz w:val="16"/>
              </w:rPr>
              <w:t>人均工资/年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3A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C4AF">
            <w:pPr>
              <w:jc w:val="center"/>
            </w:pPr>
            <w:r>
              <w:rPr>
                <w:rFonts w:ascii="宋体" w:hAnsi="宋体" w:eastAsia="宋体"/>
                <w:sz w:val="16"/>
              </w:rPr>
              <w:t>&lt;=2400元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793A">
            <w:pPr>
              <w:jc w:val="center"/>
            </w:pPr>
            <w:r>
              <w:rPr>
                <w:rFonts w:ascii="宋体" w:hAnsi="宋体" w:eastAsia="宋体"/>
                <w:sz w:val="16"/>
              </w:rPr>
              <w:t>2400元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6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7F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C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BA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4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91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6EB1">
            <w:pPr>
              <w:jc w:val="center"/>
            </w:pPr>
          </w:p>
        </w:tc>
      </w:tr>
      <w:tr w14:paraId="29F78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15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67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49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E6A7">
            <w:pPr>
              <w:jc w:val="center"/>
            </w:pPr>
            <w:r>
              <w:rPr>
                <w:rFonts w:ascii="宋体" w:hAnsi="宋体" w:eastAsia="宋体"/>
                <w:sz w:val="16"/>
              </w:rPr>
              <w:t>为地震开展持续发展提供基础支撑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B3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F781">
            <w:pPr>
              <w:jc w:val="center"/>
            </w:pPr>
            <w:r>
              <w:rPr>
                <w:rFonts w:ascii="宋体" w:hAnsi="宋体" w:eastAsia="宋体"/>
                <w:sz w:val="16"/>
              </w:rPr>
              <w:t>为地震开展持续发展提供基础支撑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8EF0">
            <w:pPr>
              <w:jc w:val="center"/>
            </w:pPr>
            <w:r>
              <w:rPr>
                <w:rFonts w:ascii="宋体" w:hAnsi="宋体" w:eastAsia="宋体"/>
                <w:sz w:val="16"/>
              </w:rPr>
              <w:t>为地震开展持续发展提供基础支撑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3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6D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6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69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95F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8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EFE6">
            <w:pPr>
              <w:jc w:val="center"/>
            </w:pPr>
          </w:p>
        </w:tc>
      </w:tr>
      <w:tr w14:paraId="364D0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AE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FD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7B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5503">
            <w:pPr>
              <w:jc w:val="center"/>
            </w:pPr>
            <w:r>
              <w:rPr>
                <w:rFonts w:ascii="宋体" w:hAnsi="宋体" w:eastAsia="宋体"/>
                <w:sz w:val="16"/>
              </w:rPr>
              <w:t>观测员满意度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04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A75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7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37B3">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05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7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99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AA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8A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1B99">
            <w:pPr>
              <w:jc w:val="center"/>
            </w:pPr>
            <w:r>
              <w:rPr>
                <w:rFonts w:ascii="宋体" w:hAnsi="宋体" w:eastAsia="宋体"/>
                <w:sz w:val="16"/>
              </w:rPr>
              <w:t>指标估算不精准，下一步需精准数据填报</w:t>
            </w:r>
          </w:p>
        </w:tc>
      </w:tr>
      <w:tr w14:paraId="16F6CF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BBEB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0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2C0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AE45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1B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A799">
            <w:pPr>
              <w:jc w:val="center"/>
            </w:pPr>
            <w:r>
              <w:rPr>
                <w:rFonts w:ascii="宋体" w:hAnsi="宋体" w:eastAsia="宋体"/>
                <w:sz w:val="16"/>
              </w:rPr>
              <w:t>93.98分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52C6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07CA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2D0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718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684FA"/>
        </w:tc>
      </w:tr>
    </w:tbl>
    <w:p w14:paraId="0AF72D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0BDB58A">
        <w:tblPrEx>
          <w:tblCellMar>
            <w:top w:w="0" w:type="dxa"/>
            <w:left w:w="108" w:type="dxa"/>
            <w:bottom w:w="0" w:type="dxa"/>
            <w:right w:w="108" w:type="dxa"/>
          </w:tblCellMar>
        </w:tblPrEx>
        <w:tc>
          <w:tcPr>
            <w:tcW w:w="8848" w:type="dxa"/>
            <w:gridSpan w:val="14"/>
            <w:vAlign w:val="center"/>
          </w:tcPr>
          <w:p w14:paraId="0980575F">
            <w:pPr>
              <w:jc w:val="center"/>
            </w:pPr>
            <w:r>
              <w:rPr>
                <w:rFonts w:ascii="宋体" w:hAnsi="宋体" w:eastAsia="宋体"/>
                <w:sz w:val="24"/>
              </w:rPr>
              <w:t>项目支出绩效自评表</w:t>
            </w:r>
          </w:p>
        </w:tc>
      </w:tr>
      <w:tr w14:paraId="03B5551F">
        <w:tblPrEx>
          <w:tblCellMar>
            <w:top w:w="0" w:type="dxa"/>
            <w:left w:w="108" w:type="dxa"/>
            <w:bottom w:w="0" w:type="dxa"/>
            <w:right w:w="108" w:type="dxa"/>
          </w:tblCellMar>
        </w:tblPrEx>
        <w:tc>
          <w:tcPr>
            <w:tcW w:w="8848" w:type="dxa"/>
            <w:gridSpan w:val="14"/>
            <w:vAlign w:val="center"/>
          </w:tcPr>
          <w:p w14:paraId="78A2B0AB">
            <w:pPr>
              <w:jc w:val="center"/>
            </w:pPr>
            <w:r>
              <w:rPr>
                <w:rFonts w:ascii="宋体" w:hAnsi="宋体" w:eastAsia="宋体"/>
                <w:sz w:val="24"/>
              </w:rPr>
              <w:t>(2024年度)</w:t>
            </w:r>
          </w:p>
        </w:tc>
      </w:tr>
      <w:tr w14:paraId="7A6C9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16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0B6C84">
            <w:pPr>
              <w:jc w:val="center"/>
            </w:pPr>
            <w:r>
              <w:rPr>
                <w:rFonts w:ascii="宋体" w:hAnsi="宋体" w:eastAsia="宋体"/>
                <w:sz w:val="16"/>
              </w:rPr>
              <w:t>特克斯县安全生产专家购买服务项目</w:t>
            </w:r>
          </w:p>
        </w:tc>
      </w:tr>
      <w:tr w14:paraId="19E821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AB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7B2BA">
            <w:pPr>
              <w:jc w:val="center"/>
            </w:pPr>
            <w:r>
              <w:rPr>
                <w:rFonts w:ascii="宋体" w:hAnsi="宋体" w:eastAsia="宋体"/>
                <w:sz w:val="16"/>
              </w:rPr>
              <w:t>特克斯县应急管理局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78B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56E3AC">
            <w:pPr>
              <w:jc w:val="center"/>
            </w:pPr>
            <w:r>
              <w:rPr>
                <w:rFonts w:ascii="宋体" w:hAnsi="宋体" w:eastAsia="宋体"/>
                <w:sz w:val="16"/>
              </w:rPr>
              <w:t>特克斯县应急管理局</w:t>
            </w:r>
          </w:p>
        </w:tc>
      </w:tr>
      <w:tr w14:paraId="4E5472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0614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582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355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F2C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B74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EB7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E5C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8A02">
            <w:pPr>
              <w:jc w:val="center"/>
            </w:pPr>
            <w:r>
              <w:rPr>
                <w:rFonts w:ascii="宋体" w:hAnsi="宋体" w:eastAsia="宋体"/>
                <w:sz w:val="16"/>
              </w:rPr>
              <w:t>得分</w:t>
            </w:r>
          </w:p>
        </w:tc>
      </w:tr>
      <w:tr w14:paraId="5A1B9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362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070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E7F6F">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4D480">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7EF8B">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B9A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32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BA9E">
            <w:pPr>
              <w:jc w:val="center"/>
            </w:pPr>
            <w:r>
              <w:rPr>
                <w:rFonts w:ascii="宋体" w:hAnsi="宋体" w:eastAsia="宋体"/>
                <w:sz w:val="16"/>
              </w:rPr>
              <w:t>10.00</w:t>
            </w:r>
          </w:p>
        </w:tc>
      </w:tr>
      <w:tr w14:paraId="23994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C18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449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E0A82">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6416E">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D9DAD">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E75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57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A7B6">
            <w:pPr>
              <w:jc w:val="center"/>
            </w:pPr>
            <w:r>
              <w:rPr>
                <w:rFonts w:ascii="宋体" w:hAnsi="宋体" w:eastAsia="宋体"/>
                <w:sz w:val="16"/>
              </w:rPr>
              <w:t>—</w:t>
            </w:r>
          </w:p>
        </w:tc>
      </w:tr>
      <w:tr w14:paraId="09432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7FE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FC6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CF7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9B5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F1E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CAA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DF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FDC2">
            <w:pPr>
              <w:jc w:val="center"/>
            </w:pPr>
            <w:r>
              <w:rPr>
                <w:rFonts w:ascii="宋体" w:hAnsi="宋体" w:eastAsia="宋体"/>
                <w:sz w:val="16"/>
              </w:rPr>
              <w:t>—</w:t>
            </w:r>
          </w:p>
        </w:tc>
      </w:tr>
      <w:tr w14:paraId="0F759B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3267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ABA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0EBEB2">
            <w:pPr>
              <w:jc w:val="center"/>
            </w:pPr>
            <w:r>
              <w:rPr>
                <w:rFonts w:ascii="宋体" w:hAnsi="宋体" w:eastAsia="宋体"/>
                <w:sz w:val="16"/>
              </w:rPr>
              <w:t>实际完成情况</w:t>
            </w:r>
          </w:p>
        </w:tc>
      </w:tr>
      <w:tr w14:paraId="7A07E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F49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2FC56">
            <w:pPr>
              <w:jc w:val="both"/>
            </w:pPr>
            <w:r>
              <w:rPr>
                <w:rFonts w:ascii="宋体" w:hAnsi="宋体" w:eastAsia="宋体"/>
                <w:sz w:val="16"/>
              </w:rPr>
              <w:t>为认真贯彻落实《自治区安全生产隐患排查治理工作条例》要求强化特克斯县安全生产隐患排查力度，特克斯县人民政府通过政府采购形式购买安全生产隐患排查服务。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7AD947">
            <w:pPr>
              <w:jc w:val="both"/>
            </w:pPr>
            <w:r>
              <w:rPr>
                <w:rFonts w:ascii="宋体" w:hAnsi="宋体" w:eastAsia="宋体"/>
                <w:sz w:val="16"/>
              </w:rPr>
              <w:t>支付新疆源达安嘉安全技术咨询有限公司9.6万元。</w:t>
            </w:r>
          </w:p>
        </w:tc>
      </w:tr>
      <w:tr w14:paraId="3EFD01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F6A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6E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C8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00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D9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F8F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261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F4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59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B8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D8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92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60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0EBB">
            <w:pPr>
              <w:jc w:val="center"/>
            </w:pPr>
            <w:r>
              <w:rPr>
                <w:rFonts w:ascii="宋体" w:hAnsi="宋体" w:eastAsia="宋体"/>
                <w:sz w:val="16"/>
              </w:rPr>
              <w:t>偏差原因分析及改进措施</w:t>
            </w:r>
          </w:p>
        </w:tc>
      </w:tr>
      <w:tr w14:paraId="633269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A72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023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A45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324F">
            <w:pPr>
              <w:jc w:val="center"/>
            </w:pPr>
            <w:r>
              <w:rPr>
                <w:rFonts w:ascii="宋体" w:hAnsi="宋体" w:eastAsia="宋体"/>
                <w:sz w:val="16"/>
              </w:rPr>
              <w:t>排查安全隐患企业数量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9E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662B">
            <w:pPr>
              <w:jc w:val="center"/>
            </w:pPr>
            <w:r>
              <w:rPr>
                <w:rFonts w:ascii="宋体" w:hAnsi="宋体" w:eastAsia="宋体"/>
                <w:sz w:val="16"/>
              </w:rPr>
              <w:t>&gt;=79家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B894">
            <w:pPr>
              <w:jc w:val="center"/>
            </w:pPr>
            <w:r>
              <w:rPr>
                <w:rFonts w:ascii="宋体" w:hAnsi="宋体" w:eastAsia="宋体"/>
                <w:sz w:val="16"/>
              </w:rPr>
              <w:t>79家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A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3E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47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0E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2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A9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1488">
            <w:pPr>
              <w:jc w:val="center"/>
            </w:pPr>
          </w:p>
        </w:tc>
      </w:tr>
      <w:tr w14:paraId="7EEB7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C4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0E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6D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DF86">
            <w:pPr>
              <w:jc w:val="center"/>
            </w:pPr>
            <w:r>
              <w:rPr>
                <w:rFonts w:ascii="宋体" w:hAnsi="宋体" w:eastAsia="宋体"/>
                <w:sz w:val="16"/>
              </w:rPr>
              <w:t>安全生产教育培训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7E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FCC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A86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F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0E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A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7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E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F2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1791">
            <w:pPr>
              <w:jc w:val="center"/>
            </w:pPr>
          </w:p>
        </w:tc>
      </w:tr>
      <w:tr w14:paraId="2A041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E3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9C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6D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155D">
            <w:pPr>
              <w:jc w:val="center"/>
            </w:pPr>
            <w:r>
              <w:rPr>
                <w:rFonts w:ascii="宋体" w:hAnsi="宋体" w:eastAsia="宋体"/>
                <w:sz w:val="16"/>
              </w:rPr>
              <w:t>安全生产专家服务数量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27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E5F7">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C7C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B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93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7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28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4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4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471A">
            <w:pPr>
              <w:jc w:val="center"/>
            </w:pPr>
          </w:p>
        </w:tc>
      </w:tr>
      <w:tr w14:paraId="73146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2D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26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72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AD10">
            <w:pPr>
              <w:jc w:val="center"/>
            </w:pPr>
            <w:r>
              <w:rPr>
                <w:rFonts w:ascii="宋体" w:hAnsi="宋体" w:eastAsia="宋体"/>
                <w:sz w:val="16"/>
              </w:rPr>
              <w:t>排查安全隐患覆盖率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CB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E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3D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A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F3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9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A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D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E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5D47">
            <w:pPr>
              <w:jc w:val="center"/>
            </w:pPr>
          </w:p>
        </w:tc>
      </w:tr>
      <w:tr w14:paraId="1A119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4C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53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28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5D53">
            <w:pPr>
              <w:jc w:val="center"/>
            </w:pPr>
            <w:r>
              <w:rPr>
                <w:rFonts w:ascii="宋体" w:hAnsi="宋体" w:eastAsia="宋体"/>
                <w:sz w:val="16"/>
              </w:rPr>
              <w:t>排查安全隐患及时率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B2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3A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5D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F1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A0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0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4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2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EA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6B96">
            <w:pPr>
              <w:jc w:val="center"/>
            </w:pPr>
          </w:p>
        </w:tc>
      </w:tr>
      <w:tr w14:paraId="154D3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01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F49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B2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18C3">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68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12F1">
            <w:pPr>
              <w:jc w:val="center"/>
            </w:pPr>
            <w:r>
              <w:rPr>
                <w:rFonts w:ascii="宋体" w:hAnsi="宋体" w:eastAsia="宋体"/>
                <w:sz w:val="16"/>
              </w:rPr>
              <w:t>=9.60万元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A915">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D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5D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18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E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9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09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B86F">
            <w:pPr>
              <w:jc w:val="center"/>
            </w:pPr>
          </w:p>
        </w:tc>
      </w:tr>
      <w:tr w14:paraId="031C6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48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C8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E5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D294">
            <w:pPr>
              <w:jc w:val="center"/>
            </w:pPr>
            <w:r>
              <w:rPr>
                <w:rFonts w:ascii="宋体" w:hAnsi="宋体" w:eastAsia="宋体"/>
                <w:sz w:val="16"/>
              </w:rPr>
              <w:t>保障特克斯县</w:t>
            </w:r>
            <w:r>
              <w:rPr>
                <w:rFonts w:hint="eastAsia" w:ascii="宋体" w:hAnsi="宋体"/>
                <w:sz w:val="16"/>
                <w:lang w:eastAsia="zh-CN"/>
              </w:rPr>
              <w:t>人民生命安全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CFF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6A4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F00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66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6E2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5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91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A0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06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2F40">
            <w:pPr>
              <w:jc w:val="center"/>
            </w:pPr>
          </w:p>
        </w:tc>
      </w:tr>
      <w:tr w14:paraId="155405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21ED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93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CE8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8C4C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F1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DA0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3B4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E9B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E82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F628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33DBE"/>
        </w:tc>
      </w:tr>
    </w:tbl>
    <w:p w14:paraId="0BACA368">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9"/>
        <w:gridCol w:w="626"/>
        <w:gridCol w:w="856"/>
        <w:gridCol w:w="696"/>
        <w:gridCol w:w="629"/>
        <w:gridCol w:w="626"/>
        <w:gridCol w:w="623"/>
        <w:gridCol w:w="623"/>
        <w:gridCol w:w="624"/>
        <w:gridCol w:w="623"/>
        <w:gridCol w:w="631"/>
      </w:tblGrid>
      <w:tr w14:paraId="04097325">
        <w:tblPrEx>
          <w:tblCellMar>
            <w:top w:w="0" w:type="dxa"/>
            <w:left w:w="108" w:type="dxa"/>
            <w:bottom w:w="0" w:type="dxa"/>
            <w:right w:w="108" w:type="dxa"/>
          </w:tblCellMar>
        </w:tblPrEx>
        <w:tc>
          <w:tcPr>
            <w:tcW w:w="8848" w:type="dxa"/>
            <w:gridSpan w:val="14"/>
            <w:vAlign w:val="center"/>
          </w:tcPr>
          <w:p w14:paraId="3D413968">
            <w:pPr>
              <w:jc w:val="center"/>
            </w:pPr>
            <w:r>
              <w:rPr>
                <w:rFonts w:ascii="宋体" w:hAnsi="宋体" w:eastAsia="宋体"/>
                <w:sz w:val="24"/>
              </w:rPr>
              <w:t>项目支出绩效自评表</w:t>
            </w:r>
          </w:p>
        </w:tc>
      </w:tr>
      <w:tr w14:paraId="3A2053BA">
        <w:tblPrEx>
          <w:tblCellMar>
            <w:top w:w="0" w:type="dxa"/>
            <w:left w:w="108" w:type="dxa"/>
            <w:bottom w:w="0" w:type="dxa"/>
            <w:right w:w="108" w:type="dxa"/>
          </w:tblCellMar>
        </w:tblPrEx>
        <w:tc>
          <w:tcPr>
            <w:tcW w:w="8848" w:type="dxa"/>
            <w:gridSpan w:val="14"/>
            <w:vAlign w:val="center"/>
          </w:tcPr>
          <w:p w14:paraId="206968D9">
            <w:pPr>
              <w:jc w:val="center"/>
            </w:pPr>
            <w:r>
              <w:rPr>
                <w:rFonts w:ascii="宋体" w:hAnsi="宋体" w:eastAsia="宋体"/>
                <w:sz w:val="24"/>
              </w:rPr>
              <w:t>(2024年度)</w:t>
            </w:r>
          </w:p>
        </w:tc>
      </w:tr>
      <w:tr w14:paraId="26EB87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0A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44657D">
            <w:pPr>
              <w:jc w:val="center"/>
            </w:pPr>
            <w:r>
              <w:rPr>
                <w:rFonts w:ascii="宋体" w:hAnsi="宋体" w:eastAsia="宋体"/>
                <w:sz w:val="16"/>
              </w:rPr>
              <w:t>自然灾害应急能力提升工程基层防灾项目</w:t>
            </w:r>
          </w:p>
        </w:tc>
      </w:tr>
      <w:tr w14:paraId="53E632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11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24F81">
            <w:pPr>
              <w:jc w:val="center"/>
            </w:pPr>
            <w:r>
              <w:rPr>
                <w:rFonts w:ascii="宋体" w:hAnsi="宋体" w:eastAsia="宋体"/>
                <w:sz w:val="16"/>
              </w:rPr>
              <w:t>特克斯县应急管理局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F8E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C32DD2">
            <w:pPr>
              <w:jc w:val="center"/>
            </w:pPr>
            <w:r>
              <w:rPr>
                <w:rFonts w:ascii="宋体" w:hAnsi="宋体" w:eastAsia="宋体"/>
                <w:sz w:val="16"/>
              </w:rPr>
              <w:t>特克斯县应急管理局</w:t>
            </w:r>
          </w:p>
        </w:tc>
      </w:tr>
      <w:tr w14:paraId="27C227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7ECC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9E7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97F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C0E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E8B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4F6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599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C61B">
            <w:pPr>
              <w:jc w:val="center"/>
            </w:pPr>
            <w:r>
              <w:rPr>
                <w:rFonts w:ascii="宋体" w:hAnsi="宋体" w:eastAsia="宋体"/>
                <w:sz w:val="16"/>
              </w:rPr>
              <w:t>得分</w:t>
            </w:r>
          </w:p>
        </w:tc>
      </w:tr>
      <w:tr w14:paraId="2161E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ACF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793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CDBA8">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29377">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92BCC">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41C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34F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45D1">
            <w:pPr>
              <w:jc w:val="center"/>
            </w:pPr>
            <w:r>
              <w:rPr>
                <w:rFonts w:ascii="宋体" w:hAnsi="宋体" w:eastAsia="宋体"/>
                <w:sz w:val="16"/>
              </w:rPr>
              <w:t>10.00</w:t>
            </w:r>
          </w:p>
        </w:tc>
      </w:tr>
      <w:tr w14:paraId="50816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EA0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65D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00A3A">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B0F9C">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A322">
            <w:pPr>
              <w:jc w:val="center"/>
            </w:pPr>
            <w:r>
              <w:rPr>
                <w:rFonts w:ascii="宋体" w:hAnsi="宋体" w:eastAsia="宋体"/>
                <w:sz w:val="16"/>
              </w:rPr>
              <w:t>89.80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388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36F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B9EC">
            <w:pPr>
              <w:jc w:val="center"/>
            </w:pPr>
            <w:r>
              <w:rPr>
                <w:rFonts w:ascii="宋体" w:hAnsi="宋体" w:eastAsia="宋体"/>
                <w:sz w:val="16"/>
              </w:rPr>
              <w:t>—</w:t>
            </w:r>
          </w:p>
        </w:tc>
      </w:tr>
      <w:tr w14:paraId="585A1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9BC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B6B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626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C3D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B59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D62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A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6B02">
            <w:pPr>
              <w:jc w:val="center"/>
            </w:pPr>
            <w:r>
              <w:rPr>
                <w:rFonts w:ascii="宋体" w:hAnsi="宋体" w:eastAsia="宋体"/>
                <w:sz w:val="16"/>
              </w:rPr>
              <w:t>—</w:t>
            </w:r>
          </w:p>
        </w:tc>
      </w:tr>
      <w:tr w14:paraId="14618F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B28B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7CA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B15099">
            <w:pPr>
              <w:jc w:val="center"/>
            </w:pPr>
            <w:r>
              <w:rPr>
                <w:rFonts w:ascii="宋体" w:hAnsi="宋体" w:eastAsia="宋体"/>
                <w:sz w:val="16"/>
              </w:rPr>
              <w:t>实际完成情况</w:t>
            </w:r>
          </w:p>
        </w:tc>
      </w:tr>
      <w:tr w14:paraId="164DA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0C4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34EFA">
            <w:pPr>
              <w:jc w:val="both"/>
            </w:pPr>
            <w:r>
              <w:rPr>
                <w:rFonts w:ascii="宋体" w:hAnsi="宋体" w:eastAsia="宋体"/>
                <w:sz w:val="16"/>
              </w:rPr>
              <w:t>通过2024年全国应急管理工作会议部署，自然灾害应急能力提升工程基层防灾项目为本县应急救援配备专业队伍，配备综合保障物资装备：森林（草原）火灾扑救36套；抗洪抢险91套；水域救援42套；地震地质灾害救援11套；综合保障16套，提升自然灾害应对处置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0CB81">
            <w:pPr>
              <w:jc w:val="both"/>
            </w:pPr>
            <w:r>
              <w:rPr>
                <w:rFonts w:ascii="宋体" w:hAnsi="宋体" w:eastAsia="宋体"/>
                <w:sz w:val="16"/>
              </w:rPr>
              <w:t>购买森林（草原）火灾扑救36套；抗洪抢险91套；水域救援42套；地震地质灾害救援11套；综合保障16套。</w:t>
            </w:r>
          </w:p>
        </w:tc>
      </w:tr>
      <w:tr w14:paraId="2D4BBC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7399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05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1B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93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51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22D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0F5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D5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AFA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C9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9C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9F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AB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6C00">
            <w:pPr>
              <w:jc w:val="center"/>
            </w:pPr>
            <w:r>
              <w:rPr>
                <w:rFonts w:ascii="宋体" w:hAnsi="宋体" w:eastAsia="宋体"/>
                <w:sz w:val="16"/>
              </w:rPr>
              <w:t>偏差原因分析及改进措施</w:t>
            </w:r>
          </w:p>
        </w:tc>
      </w:tr>
      <w:tr w14:paraId="58617F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AA1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172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984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F93C">
            <w:pPr>
              <w:jc w:val="center"/>
            </w:pPr>
            <w:r>
              <w:rPr>
                <w:rFonts w:ascii="宋体" w:hAnsi="宋体" w:eastAsia="宋体"/>
                <w:sz w:val="16"/>
              </w:rPr>
              <w:t>森林（草原）火灾扑救套数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F7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B94A">
            <w:pPr>
              <w:jc w:val="center"/>
            </w:pPr>
            <w:r>
              <w:rPr>
                <w:rFonts w:ascii="宋体" w:hAnsi="宋体" w:eastAsia="宋体"/>
                <w:sz w:val="16"/>
              </w:rPr>
              <w:t>&gt;=36套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CB68">
            <w:pPr>
              <w:jc w:val="center"/>
            </w:pPr>
            <w:r>
              <w:rPr>
                <w:rFonts w:ascii="宋体" w:hAnsi="宋体" w:eastAsia="宋体"/>
                <w:sz w:val="16"/>
              </w:rPr>
              <w:t>36套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1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70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7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5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C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8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CAA2">
            <w:pPr>
              <w:jc w:val="center"/>
            </w:pPr>
          </w:p>
        </w:tc>
      </w:tr>
      <w:tr w14:paraId="0E59F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94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05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6A2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AA1F">
            <w:pPr>
              <w:jc w:val="center"/>
            </w:pPr>
            <w:r>
              <w:rPr>
                <w:rFonts w:ascii="宋体" w:hAnsi="宋体" w:eastAsia="宋体"/>
                <w:sz w:val="16"/>
              </w:rPr>
              <w:t>火灾扑套数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B5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52DD">
            <w:pPr>
              <w:jc w:val="center"/>
            </w:pPr>
            <w:r>
              <w:rPr>
                <w:rFonts w:ascii="宋体" w:hAnsi="宋体" w:eastAsia="宋体"/>
                <w:sz w:val="16"/>
              </w:rPr>
              <w:t>&gt;=36套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31A7">
            <w:pPr>
              <w:jc w:val="center"/>
            </w:pPr>
            <w:r>
              <w:rPr>
                <w:rFonts w:ascii="宋体" w:hAnsi="宋体" w:eastAsia="宋体"/>
                <w:sz w:val="16"/>
              </w:rPr>
              <w:t>36套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2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98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2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5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E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0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91B0">
            <w:pPr>
              <w:jc w:val="center"/>
            </w:pPr>
          </w:p>
        </w:tc>
      </w:tr>
      <w:tr w14:paraId="3AD95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D6D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7A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4B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13A9">
            <w:pPr>
              <w:jc w:val="center"/>
            </w:pPr>
            <w:r>
              <w:rPr>
                <w:rFonts w:ascii="宋体" w:hAnsi="宋体" w:eastAsia="宋体"/>
                <w:sz w:val="16"/>
              </w:rPr>
              <w:t>水域救援套数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CB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473C">
            <w:pPr>
              <w:jc w:val="center"/>
            </w:pPr>
            <w:r>
              <w:rPr>
                <w:rFonts w:ascii="宋体" w:hAnsi="宋体" w:eastAsia="宋体"/>
                <w:sz w:val="16"/>
              </w:rPr>
              <w:t>&gt;=42套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1F97">
            <w:pPr>
              <w:jc w:val="center"/>
            </w:pPr>
            <w:r>
              <w:rPr>
                <w:rFonts w:ascii="宋体" w:hAnsi="宋体" w:eastAsia="宋体"/>
                <w:sz w:val="16"/>
              </w:rPr>
              <w:t>42套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2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08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9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A8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A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0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B58B">
            <w:pPr>
              <w:jc w:val="center"/>
            </w:pPr>
          </w:p>
        </w:tc>
      </w:tr>
      <w:tr w14:paraId="65450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40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D4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91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B959">
            <w:pPr>
              <w:jc w:val="center"/>
            </w:pPr>
            <w:r>
              <w:rPr>
                <w:rFonts w:ascii="宋体" w:hAnsi="宋体" w:eastAsia="宋体"/>
                <w:sz w:val="16"/>
              </w:rPr>
              <w:t>地震地质灾害救援套数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BE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3939">
            <w:pPr>
              <w:jc w:val="center"/>
            </w:pPr>
            <w:r>
              <w:rPr>
                <w:rFonts w:ascii="宋体" w:hAnsi="宋体" w:eastAsia="宋体"/>
                <w:sz w:val="16"/>
              </w:rPr>
              <w:t>&gt;=11套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FCC0">
            <w:pPr>
              <w:jc w:val="center"/>
            </w:pPr>
            <w:r>
              <w:rPr>
                <w:rFonts w:ascii="宋体" w:hAnsi="宋体" w:eastAsia="宋体"/>
                <w:sz w:val="16"/>
              </w:rPr>
              <w:t>11套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4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D3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6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6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E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D7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329C">
            <w:pPr>
              <w:jc w:val="center"/>
            </w:pPr>
          </w:p>
        </w:tc>
      </w:tr>
      <w:tr w14:paraId="05792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A2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92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C16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26C8">
            <w:pPr>
              <w:jc w:val="center"/>
            </w:pPr>
            <w:r>
              <w:rPr>
                <w:rFonts w:ascii="宋体" w:hAnsi="宋体" w:eastAsia="宋体"/>
                <w:sz w:val="16"/>
              </w:rPr>
              <w:t>综合保障套数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05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CE07">
            <w:pPr>
              <w:jc w:val="center"/>
            </w:pPr>
            <w:r>
              <w:rPr>
                <w:rFonts w:ascii="宋体" w:hAnsi="宋体" w:eastAsia="宋体"/>
                <w:sz w:val="16"/>
              </w:rPr>
              <w:t>&gt;=16套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C641">
            <w:pPr>
              <w:jc w:val="center"/>
            </w:pPr>
            <w:r>
              <w:rPr>
                <w:rFonts w:ascii="宋体" w:hAnsi="宋体" w:eastAsia="宋体"/>
                <w:sz w:val="16"/>
              </w:rPr>
              <w:t>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5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CE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4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CE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C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3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ED04">
            <w:pPr>
              <w:jc w:val="center"/>
            </w:pPr>
          </w:p>
        </w:tc>
      </w:tr>
      <w:tr w14:paraId="45983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2D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6E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62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A8CF">
            <w:pPr>
              <w:jc w:val="center"/>
            </w:pPr>
            <w:r>
              <w:rPr>
                <w:rFonts w:ascii="宋体" w:hAnsi="宋体" w:eastAsia="宋体"/>
                <w:sz w:val="16"/>
              </w:rPr>
              <w:t>抗洪抢险套数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91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A2C4">
            <w:pPr>
              <w:jc w:val="center"/>
            </w:pPr>
            <w:r>
              <w:rPr>
                <w:rFonts w:ascii="宋体" w:hAnsi="宋体" w:eastAsia="宋体"/>
                <w:sz w:val="16"/>
              </w:rPr>
              <w:t>&gt;=91套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62D4">
            <w:pPr>
              <w:jc w:val="center"/>
            </w:pPr>
            <w:r>
              <w:rPr>
                <w:rFonts w:ascii="宋体" w:hAnsi="宋体" w:eastAsia="宋体"/>
                <w:sz w:val="16"/>
              </w:rPr>
              <w:t>91套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1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F0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3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84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E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00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E4E6">
            <w:pPr>
              <w:jc w:val="center"/>
            </w:pPr>
          </w:p>
        </w:tc>
      </w:tr>
      <w:tr w14:paraId="3E01B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89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E4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07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A5D7">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7F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8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7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0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85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7A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4C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D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A1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326A">
            <w:pPr>
              <w:jc w:val="center"/>
            </w:pPr>
          </w:p>
        </w:tc>
      </w:tr>
      <w:tr w14:paraId="18E85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F81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05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85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72BB">
            <w:pPr>
              <w:jc w:val="center"/>
            </w:pPr>
            <w:r>
              <w:rPr>
                <w:rFonts w:ascii="宋体" w:hAnsi="宋体" w:eastAsia="宋体"/>
                <w:sz w:val="16"/>
              </w:rPr>
              <w:t>采购物资应急装备完成时间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18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A7E8">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75FA">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D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5D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B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46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3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0F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73F5">
            <w:pPr>
              <w:jc w:val="center"/>
            </w:pPr>
          </w:p>
        </w:tc>
      </w:tr>
      <w:tr w14:paraId="34073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369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D62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6A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42F8">
            <w:pPr>
              <w:jc w:val="center"/>
            </w:pPr>
            <w:r>
              <w:rPr>
                <w:rFonts w:ascii="宋体" w:hAnsi="宋体" w:eastAsia="宋体"/>
                <w:sz w:val="16"/>
              </w:rPr>
              <w:t>县级资金承担</w:t>
            </w:r>
            <w:r>
              <w:rPr>
                <w:rFonts w:hint="eastAsia" w:ascii="宋体" w:hAnsi="宋体"/>
                <w:sz w:val="16"/>
                <w:lang w:eastAsia="zh-CN"/>
              </w:rPr>
              <w:t>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4B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AAC3">
            <w:pPr>
              <w:jc w:val="center"/>
            </w:pPr>
            <w:r>
              <w:rPr>
                <w:rFonts w:ascii="宋体" w:hAnsi="宋体" w:eastAsia="宋体"/>
                <w:sz w:val="16"/>
              </w:rPr>
              <w:t>&lt;=19.97%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916A">
            <w:pPr>
              <w:jc w:val="center"/>
            </w:pPr>
            <w:r>
              <w:rPr>
                <w:rFonts w:ascii="宋体" w:hAnsi="宋体" w:eastAsia="宋体"/>
                <w:sz w:val="16"/>
              </w:rPr>
              <w:t>19.97%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4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19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F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1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6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97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FBD7">
            <w:pPr>
              <w:jc w:val="center"/>
            </w:pPr>
          </w:p>
        </w:tc>
      </w:tr>
      <w:tr w14:paraId="167A4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4F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A9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B6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7B34">
            <w:pPr>
              <w:jc w:val="center"/>
            </w:pPr>
            <w:r>
              <w:rPr>
                <w:rFonts w:ascii="宋体" w:hAnsi="宋体" w:eastAsia="宋体"/>
                <w:sz w:val="16"/>
              </w:rPr>
              <w:t>自然灾害应对处置能力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FB3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DD9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6FF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D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B3D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5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E6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CD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1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C3F9">
            <w:pPr>
              <w:jc w:val="center"/>
            </w:pPr>
          </w:p>
        </w:tc>
      </w:tr>
      <w:tr w14:paraId="52CA88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2175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D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195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1579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BF3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1A8D">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CB23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D96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0C9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D064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7683E"/>
        </w:tc>
      </w:tr>
    </w:tbl>
    <w:p w14:paraId="16945F47">
      <w:r>
        <w:br w:type="page"/>
      </w:r>
    </w:p>
    <w:p w14:paraId="4B1707F1">
      <w:pPr>
        <w:spacing w:line="640" w:lineRule="exact"/>
        <w:ind w:firstLine="640"/>
        <w:jc w:val="both"/>
        <w:outlineLvl w:val="2"/>
      </w:pPr>
      <w:r>
        <w:rPr>
          <w:rFonts w:ascii="黑体" w:hAnsi="黑体" w:eastAsia="黑体"/>
          <w:sz w:val="32"/>
        </w:rPr>
        <w:t>十二、其他需说明的事项</w:t>
      </w:r>
    </w:p>
    <w:p w14:paraId="4DC5719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42BEA814">
      <w:r>
        <w:br w:type="page"/>
      </w:r>
    </w:p>
    <w:p w14:paraId="62D4E862">
      <w:pPr>
        <w:spacing w:line="240" w:lineRule="auto"/>
        <w:jc w:val="center"/>
        <w:outlineLvl w:val="1"/>
      </w:pPr>
      <w:r>
        <w:rPr>
          <w:rFonts w:ascii="黑体" w:hAnsi="黑体" w:eastAsia="黑体"/>
          <w:sz w:val="32"/>
        </w:rPr>
        <w:t>第三部分 专业名词解释</w:t>
      </w:r>
    </w:p>
    <w:p w14:paraId="62EEE03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62BA8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740E00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74B927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A139628">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66A438B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3C185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72E7B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C6EC2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7CAC94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88E76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1F636907">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0535BF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764A11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BD2FF07">
      <w:r>
        <w:br w:type="page"/>
      </w:r>
    </w:p>
    <w:p w14:paraId="021D3CB5">
      <w:pPr>
        <w:spacing w:line="240" w:lineRule="auto"/>
        <w:jc w:val="center"/>
        <w:outlineLvl w:val="1"/>
      </w:pPr>
      <w:r>
        <w:rPr>
          <w:rFonts w:ascii="黑体" w:hAnsi="黑体" w:eastAsia="黑体"/>
          <w:sz w:val="32"/>
        </w:rPr>
        <w:t>第四部分 部门决算报表（见附表）</w:t>
      </w:r>
    </w:p>
    <w:p w14:paraId="265035A8">
      <w:pPr>
        <w:spacing w:line="240" w:lineRule="auto"/>
        <w:ind w:firstLine="640"/>
        <w:jc w:val="both"/>
      </w:pPr>
      <w:r>
        <w:rPr>
          <w:rFonts w:ascii="仿宋_GB2312" w:hAnsi="仿宋_GB2312" w:eastAsia="仿宋_GB2312"/>
          <w:b w:val="0"/>
          <w:sz w:val="32"/>
        </w:rPr>
        <w:t>一、《收入支出决算总表》</w:t>
      </w:r>
    </w:p>
    <w:p w14:paraId="2DA807CF">
      <w:pPr>
        <w:spacing w:line="240" w:lineRule="auto"/>
        <w:ind w:firstLine="640"/>
        <w:jc w:val="both"/>
      </w:pPr>
      <w:r>
        <w:rPr>
          <w:rFonts w:ascii="仿宋_GB2312" w:hAnsi="仿宋_GB2312" w:eastAsia="仿宋_GB2312"/>
          <w:b w:val="0"/>
          <w:sz w:val="32"/>
        </w:rPr>
        <w:t>二、《收入决算表》</w:t>
      </w:r>
    </w:p>
    <w:p w14:paraId="77A57CDE">
      <w:pPr>
        <w:spacing w:line="240" w:lineRule="auto"/>
        <w:ind w:firstLine="640"/>
        <w:jc w:val="both"/>
      </w:pPr>
      <w:r>
        <w:rPr>
          <w:rFonts w:ascii="仿宋_GB2312" w:hAnsi="仿宋_GB2312" w:eastAsia="仿宋_GB2312"/>
          <w:b w:val="0"/>
          <w:sz w:val="32"/>
        </w:rPr>
        <w:t>三、《支出决算表》</w:t>
      </w:r>
    </w:p>
    <w:p w14:paraId="73BF28DD">
      <w:pPr>
        <w:spacing w:line="240" w:lineRule="auto"/>
        <w:ind w:firstLine="640"/>
        <w:jc w:val="both"/>
      </w:pPr>
      <w:r>
        <w:rPr>
          <w:rFonts w:ascii="仿宋_GB2312" w:hAnsi="仿宋_GB2312" w:eastAsia="仿宋_GB2312"/>
          <w:b w:val="0"/>
          <w:sz w:val="32"/>
        </w:rPr>
        <w:t>四、《财政拨款收入支出决算总表》</w:t>
      </w:r>
    </w:p>
    <w:p w14:paraId="4990FCE5">
      <w:pPr>
        <w:spacing w:line="240" w:lineRule="auto"/>
        <w:ind w:firstLine="640"/>
        <w:jc w:val="both"/>
      </w:pPr>
      <w:r>
        <w:rPr>
          <w:rFonts w:ascii="仿宋_GB2312" w:hAnsi="仿宋_GB2312" w:eastAsia="仿宋_GB2312"/>
          <w:b w:val="0"/>
          <w:sz w:val="32"/>
        </w:rPr>
        <w:t>五、《一般公共预算财政拨款支出决算表》</w:t>
      </w:r>
    </w:p>
    <w:p w14:paraId="7ACEC496">
      <w:pPr>
        <w:spacing w:line="240" w:lineRule="auto"/>
        <w:ind w:firstLine="640"/>
        <w:jc w:val="both"/>
      </w:pPr>
      <w:r>
        <w:rPr>
          <w:rFonts w:ascii="仿宋_GB2312" w:hAnsi="仿宋_GB2312" w:eastAsia="仿宋_GB2312"/>
          <w:b w:val="0"/>
          <w:sz w:val="32"/>
        </w:rPr>
        <w:t>六、《一般公共预算财政拨款基本支出决算表》</w:t>
      </w:r>
    </w:p>
    <w:p w14:paraId="0BDAF453">
      <w:pPr>
        <w:spacing w:line="240" w:lineRule="auto"/>
        <w:ind w:firstLine="640"/>
        <w:jc w:val="both"/>
      </w:pPr>
      <w:r>
        <w:rPr>
          <w:rFonts w:ascii="仿宋_GB2312" w:hAnsi="仿宋_GB2312" w:eastAsia="仿宋_GB2312"/>
          <w:b w:val="0"/>
          <w:sz w:val="32"/>
        </w:rPr>
        <w:t>七、《政府性基金预算财政拨款收入支出决算表》</w:t>
      </w:r>
    </w:p>
    <w:p w14:paraId="4B5FAF6F">
      <w:pPr>
        <w:spacing w:line="240" w:lineRule="auto"/>
        <w:ind w:firstLine="640"/>
        <w:jc w:val="both"/>
      </w:pPr>
      <w:r>
        <w:rPr>
          <w:rFonts w:ascii="仿宋_GB2312" w:hAnsi="仿宋_GB2312" w:eastAsia="仿宋_GB2312"/>
          <w:b w:val="0"/>
          <w:sz w:val="32"/>
        </w:rPr>
        <w:t>八、《国有资本经营预算财政拨款收入支出决算表》</w:t>
      </w:r>
    </w:p>
    <w:p w14:paraId="796F1871">
      <w:pPr>
        <w:spacing w:line="240" w:lineRule="auto"/>
        <w:ind w:firstLine="640"/>
        <w:jc w:val="both"/>
      </w:pPr>
      <w:r>
        <w:rPr>
          <w:rFonts w:ascii="仿宋_GB2312" w:hAnsi="仿宋_GB2312" w:eastAsia="仿宋_GB2312"/>
          <w:b w:val="0"/>
          <w:sz w:val="32"/>
        </w:rPr>
        <w:t>九、《财政拨款“三公”经费支出决算表》</w:t>
      </w:r>
    </w:p>
    <w:p w14:paraId="757DE6FB">
      <w:pPr>
        <w:spacing w:line="240" w:lineRule="auto"/>
        <w:ind w:firstLine="640"/>
        <w:jc w:val="both"/>
      </w:pPr>
    </w:p>
    <w:p w14:paraId="4961349C">
      <w:pPr>
        <w:spacing w:line="240" w:lineRule="auto"/>
        <w:ind w:firstLine="640"/>
        <w:jc w:val="both"/>
      </w:pPr>
    </w:p>
    <w:p w14:paraId="71B78820">
      <w:pPr>
        <w:spacing w:line="240" w:lineRule="auto"/>
        <w:ind w:firstLine="640"/>
        <w:jc w:val="both"/>
      </w:pPr>
    </w:p>
    <w:p w14:paraId="23FBD5E6">
      <w:pPr>
        <w:spacing w:line="240" w:lineRule="auto"/>
        <w:ind w:firstLine="640"/>
        <w:jc w:val="both"/>
      </w:pPr>
    </w:p>
    <w:p w14:paraId="1906476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F9684D6-9E3D-40BF-B8F4-08DEE663B6E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EDD4939-0B5D-407D-818C-155BF7DB4CC4}"/>
  </w:font>
  <w:font w:name="仿宋_GB2312">
    <w:panose1 w:val="02010609030101010101"/>
    <w:charset w:val="86"/>
    <w:family w:val="auto"/>
    <w:pitch w:val="default"/>
    <w:sig w:usb0="00000001" w:usb1="080E0000" w:usb2="00000000" w:usb3="00000000" w:csb0="00040000" w:csb1="00000000"/>
    <w:embedRegular r:id="rId3" w:fontKey="{B8F05A8E-EDB7-4278-B7BB-D1175CA32DF0}"/>
  </w:font>
  <w:font w:name="楷体_GB2312">
    <w:panose1 w:val="02010609030101010101"/>
    <w:charset w:val="86"/>
    <w:family w:val="auto"/>
    <w:pitch w:val="default"/>
    <w:sig w:usb0="00000001" w:usb1="080E0000" w:usb2="00000000" w:usb3="00000000" w:csb0="00040000" w:csb1="00000000"/>
    <w:embedRegular r:id="rId4" w:fontKey="{8E980A88-D786-49DF-B103-EBDD81D932E2}"/>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A52503"/>
    <w:rsid w:val="09A729D8"/>
    <w:rsid w:val="0A3C58E8"/>
    <w:rsid w:val="0A7B4867"/>
    <w:rsid w:val="0B8C3ECC"/>
    <w:rsid w:val="0C3613A3"/>
    <w:rsid w:val="0C7227A7"/>
    <w:rsid w:val="0DCA6EF7"/>
    <w:rsid w:val="0E4B1576"/>
    <w:rsid w:val="0EA04331"/>
    <w:rsid w:val="0F9811B3"/>
    <w:rsid w:val="11E15093"/>
    <w:rsid w:val="120E0809"/>
    <w:rsid w:val="19071D6C"/>
    <w:rsid w:val="19874772"/>
    <w:rsid w:val="19B32E0A"/>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7B3D3F"/>
    <w:rsid w:val="3EA7725F"/>
    <w:rsid w:val="3EC014A1"/>
    <w:rsid w:val="40834692"/>
    <w:rsid w:val="423A32B2"/>
    <w:rsid w:val="423C0CB4"/>
    <w:rsid w:val="427B5743"/>
    <w:rsid w:val="42E64542"/>
    <w:rsid w:val="464B7E04"/>
    <w:rsid w:val="464F7E64"/>
    <w:rsid w:val="46901EEE"/>
    <w:rsid w:val="469C74D2"/>
    <w:rsid w:val="47445515"/>
    <w:rsid w:val="496861FB"/>
    <w:rsid w:val="49C34AA3"/>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40ee6ac8-24f3-4141-9502-6e6fe87969d8</errorID>
      <errorWord>2月31日</errorWord>
      <group>L1_Sensitive</group>
      <groupName>敏感问题</groupName>
      <ability>L2_UserSensitive</ability>
      <abilityName>自定义敏感词</abilityName>
      <candidateList/>
      <explain>来自自定义敏感词库。</explain>
      <paraID>6CE4E50C</paraID>
      <start>8</start>
      <end>13</end>
      <status>unmodified</status>
      <modifiedWord/>
      <trackRevisions>false</trackRevisions>
    </reviewItem>
    <reviewItem>
      <errorID>5252441d-d5d6-44bc-b218-ff0d8efd08d3</errorID>
      <errorWord>监控</errorWord>
      <group>L1_Sensitive</group>
      <groupName>敏感问题</groupName>
      <ability>L2_UserSensitive</ability>
      <abilityName>自定义敏感词</abilityName>
      <candidateList/>
      <explain>来自自定义敏感词库。</explain>
      <paraID>4C46C941</paraID>
      <start>253</start>
      <end>255</end>
      <status>unmodified</status>
      <modifiedWord/>
      <trackRevisions>false</trackRevisions>
    </reviewItem>
    <reviewItem>
      <errorID>8bd14a4e-7af5-4e2e-97c1-e103dc37dd47</errorID>
      <errorWord>监控</errorWord>
      <group>L1_Sensitive</group>
      <groupName>敏感问题</groupName>
      <ability>L2_UserSensitive</ability>
      <abilityName>自定义敏感词</abilityName>
      <candidateList/>
      <explain>来自自定义敏感词库。</explain>
      <paraID>4C46C941</paraID>
      <start>329</start>
      <end>331</end>
      <status>unmodified</status>
      <modifiedWord/>
      <trackRevisions>false</trackRevisions>
    </reviewItem>
    <reviewItem>
      <errorID>66404f9b-89bd-4f17-864d-41ddee92482c</errorID>
      <errorWord>指示批示精神</errorWord>
      <group>L1_Sensitive</group>
      <groupName>敏感问题</groupName>
      <ability>L2_UserSensitive</ability>
      <abilityName>自定义敏感词</abilityName>
      <candidateList/>
      <explain>来自自定义敏感词库。</explain>
      <paraID>3F6116E9</paraID>
      <start>26</start>
      <end>32</end>
      <status>unmodified</status>
      <modifiedWord/>
      <trackRevisions>false</trackRevisions>
    </reviewItem>
    <reviewItem>
      <errorID>b4c809a4-07a1-4f44-af4e-f1475a73be5a</errorID>
      <errorWord>监控</errorWord>
      <group>L1_Sensitive</group>
      <groupName>敏感问题</groupName>
      <ability>L2_UserSensitive</ability>
      <abilityName>自定义敏感词</abilityName>
      <candidateList/>
      <explain>来自自定义敏感词库。</explain>
      <paraID>16EF5434</paraID>
      <start>10</start>
      <end>12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ab7109-bf13-4653-809c-06459db5aaab}">
  <ds:schemaRefs/>
</ds:datastoreItem>
</file>

<file path=docProps/app.xml><?xml version="1.0" encoding="utf-8"?>
<Properties xmlns="http://schemas.openxmlformats.org/officeDocument/2006/extended-properties" xmlns:vt="http://schemas.openxmlformats.org/officeDocument/2006/docPropsVTypes">
  <Template>Normal.dotm</Template>
  <Pages>31</Pages>
  <Words>6119</Words>
  <Characters>6825</Characters>
  <Lines>0</Lines>
  <Paragraphs>0</Paragraphs>
  <TotalTime>8</TotalTime>
  <ScaleCrop>false</ScaleCrop>
  <LinksUpToDate>false</LinksUpToDate>
  <CharactersWithSpaces>6833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