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特克斯县喀拉托海镇人民政府2024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74F0FE4">
      <w:r>
        <w:br w:type="page"/>
      </w:r>
    </w:p>
    <w:p w14:paraId="1F9881B0">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D39E79A">
      <w:pPr>
        <w:spacing w:line="640" w:lineRule="exact"/>
        <w:ind w:firstLine="640"/>
        <w:jc w:val="both"/>
        <w:outlineLvl w:val="2"/>
      </w:pPr>
      <w:r>
        <w:rPr>
          <w:rFonts w:ascii="黑体" w:hAnsi="黑体" w:eastAsia="黑体"/>
          <w:sz w:val="32"/>
        </w:rPr>
        <w:t>一、主要职能</w:t>
      </w:r>
    </w:p>
    <w:p w14:paraId="4ACFF9D7">
      <w:pPr>
        <w:spacing w:line="580" w:lineRule="exact"/>
        <w:ind w:firstLine="640"/>
        <w:jc w:val="both"/>
      </w:pPr>
      <w:r>
        <w:rPr>
          <w:rFonts w:ascii="仿宋_GB2312" w:hAnsi="仿宋_GB2312" w:eastAsia="仿宋_GB2312"/>
          <w:sz w:val="32"/>
        </w:rPr>
        <w:t>1.党政综合办公室。主要负责文秘、档案、翻译、综合协调、后勤保障等工作；负责制定乡镇机关各项工作制度并监督落实；负责乡镇机关效能建设及绩效考核；负责机关、派驻机构、事业机构的综合协调工作；负责建立完善“街乡吹哨、部门报到”工作机制，制定实施“呼叫”事项办理信息反馈评价制度，完善和实施对县直部门和派驻机构履职的考核评价机制。</w:t>
      </w:r>
    </w:p>
    <w:p w14:paraId="3A784DEB">
      <w:pPr>
        <w:spacing w:line="580" w:lineRule="exact"/>
        <w:ind w:firstLine="640"/>
        <w:jc w:val="both"/>
      </w:pPr>
      <w:r>
        <w:rPr>
          <w:rFonts w:ascii="仿宋_GB2312" w:hAnsi="仿宋_GB2312" w:eastAsia="仿宋_GB2312"/>
          <w:sz w:val="32"/>
        </w:rPr>
        <w:t>2.党建工作办公室。主要负责纪检、党务、组织、宣传、机构编制、人事、老干部等工作的规划、管理、协调和监督工作；负责宣传党的各项方针、政策；负责党的基层组织建设和党员队伍建设工作；负责党风廉政建设工作；负责人大、团委、工会、妇联等日常事务；负责政协委员的联络工作；负责“为民办实事”驻村工作、升国旗、农牧民夜校、“民族团结一家亲”、村（社区）考核；负责辖区社团组织的培育、发展和管理；负责组织开展辖区居民的宣传、发动、服务工作；负责特殊群体的帮教帮扶、解决居民困难诉求等工作。</w:t>
      </w:r>
    </w:p>
    <w:p w14:paraId="4C55F071">
      <w:pPr>
        <w:spacing w:line="580" w:lineRule="exact"/>
        <w:ind w:firstLine="640"/>
        <w:jc w:val="both"/>
      </w:pPr>
      <w:r>
        <w:rPr>
          <w:rFonts w:ascii="仿宋_GB2312" w:hAnsi="仿宋_GB2312" w:eastAsia="仿宋_GB2312"/>
          <w:sz w:val="32"/>
        </w:rPr>
        <w:t>3.经济发展和财政办公室。主要负责农业、农技、农机、林业、畜牧、水利、财政、土地、统计、交通、村镇建设、扶贫开发、招商引资、项目管理、</w:t>
      </w:r>
      <w:r>
        <w:rPr>
          <w:rFonts w:hint="eastAsia" w:ascii="仿宋_GB2312" w:hAnsi="仿宋_GB2312" w:eastAsia="仿宋_GB2312"/>
          <w:sz w:val="32"/>
          <w:lang w:eastAsia="zh-CN"/>
        </w:rPr>
        <w:t>一二三产业</w:t>
      </w:r>
      <w:r>
        <w:rPr>
          <w:rFonts w:ascii="仿宋_GB2312" w:hAnsi="仿宋_GB2312" w:eastAsia="仿宋_GB2312"/>
          <w:sz w:val="32"/>
        </w:rPr>
        <w:t>的规划、管理、服务、协调和监督工作；拟定经济发展、产业结构规划、计划并组织实施；贯彻落实统筹城乡发展、加快推进城乡一体化工作总体部署和目标。</w:t>
      </w:r>
    </w:p>
    <w:p w14:paraId="6B6B56AD">
      <w:pPr>
        <w:spacing w:line="580" w:lineRule="exact"/>
        <w:ind w:firstLine="640"/>
        <w:jc w:val="both"/>
      </w:pPr>
      <w:r>
        <w:rPr>
          <w:rFonts w:ascii="仿宋_GB2312" w:hAnsi="仿宋_GB2312" w:eastAsia="仿宋_GB2312"/>
          <w:sz w:val="32"/>
        </w:rPr>
        <w:t>4.社会事务办公室（退役军人服务站）。主要负责政法、社会治安综合治理、信访、司法、、科技、教育、文化、卫生、体育、广播电视、旅游、</w:t>
      </w:r>
      <w:r>
        <w:rPr>
          <w:rFonts w:hint="eastAsia" w:ascii="仿宋_GB2312" w:hAnsi="仿宋_GB2312" w:eastAsia="仿宋_GB2312"/>
          <w:sz w:val="32"/>
          <w:lang w:val="en-US" w:eastAsia="zh-CN"/>
        </w:rPr>
        <w:t>JHSY</w:t>
      </w:r>
      <w:r>
        <w:rPr>
          <w:rFonts w:ascii="仿宋_GB2312" w:hAnsi="仿宋_GB2312" w:eastAsia="仿宋_GB2312"/>
          <w:sz w:val="32"/>
        </w:rPr>
        <w:t>、民政、劳动就业、社会保障、社会救助、退役军人、残疾人、红十字事业的规划、管理、协调和监督工作；负责拟定社会发展规划、计划并组织实施，协助做好镇人武部工作。</w:t>
      </w:r>
    </w:p>
    <w:p w14:paraId="302C9F26">
      <w:pPr>
        <w:spacing w:line="580" w:lineRule="exact"/>
        <w:ind w:firstLine="640"/>
        <w:jc w:val="both"/>
      </w:pPr>
      <w:r>
        <w:rPr>
          <w:rFonts w:ascii="仿宋_GB2312" w:hAnsi="仿宋_GB2312" w:eastAsia="仿宋_GB2312"/>
          <w:sz w:val="32"/>
        </w:rPr>
        <w:t>5.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执法绩效考评；推进综合行政执法信息系统建设；负责联系协调县政府相关行政部门派驻乡镇执法人员以及乡镇执法人员在辖区内开展综合行政执法工作。</w:t>
      </w:r>
    </w:p>
    <w:p w14:paraId="1F603D38">
      <w:pPr>
        <w:spacing w:line="580" w:lineRule="exact"/>
        <w:ind w:firstLine="640"/>
        <w:jc w:val="both"/>
        <w:rPr>
          <w:rFonts w:hint="eastAsia" w:eastAsia="仿宋_GB2312"/>
          <w:lang w:eastAsia="zh-CN"/>
        </w:rPr>
      </w:pPr>
      <w:r>
        <w:rPr>
          <w:rFonts w:ascii="仿宋_GB2312" w:hAnsi="仿宋_GB2312" w:eastAsia="仿宋_GB2312"/>
          <w:sz w:val="32"/>
        </w:rPr>
        <w:t>事业</w:t>
      </w:r>
      <w:r>
        <w:rPr>
          <w:rFonts w:hint="eastAsia" w:ascii="仿宋_GB2312" w:hAnsi="仿宋_GB2312" w:eastAsia="仿宋_GB2312"/>
          <w:sz w:val="32"/>
          <w:lang w:eastAsia="zh-CN"/>
        </w:rPr>
        <w:t>单位：</w:t>
      </w:r>
    </w:p>
    <w:p w14:paraId="18CB38DD">
      <w:pPr>
        <w:spacing w:line="580" w:lineRule="exact"/>
        <w:ind w:firstLine="640"/>
        <w:jc w:val="both"/>
      </w:pPr>
      <w:r>
        <w:rPr>
          <w:rFonts w:ascii="仿宋_GB2312" w:hAnsi="仿宋_GB2312" w:eastAsia="仿宋_GB2312"/>
          <w:sz w:val="32"/>
        </w:rPr>
        <w:t>1.农业（畜牧业）发展服务中心：主要负责农业、畜牧、兽医、草原、林业、农技、农机、水利、科技等方面的服务工作；协助镇政府制定农业、林业、畜牧业、科技等工作的长远发展规划和年度计划并组织实施。</w:t>
      </w:r>
    </w:p>
    <w:p w14:paraId="035EA2E1">
      <w:pPr>
        <w:spacing w:line="580" w:lineRule="exact"/>
        <w:ind w:firstLine="640"/>
        <w:jc w:val="both"/>
      </w:pPr>
      <w:r>
        <w:rPr>
          <w:rFonts w:ascii="仿宋_GB2312" w:hAnsi="仿宋_GB2312" w:eastAsia="仿宋_GB2312"/>
          <w:sz w:val="32"/>
        </w:rPr>
        <w:t>2.村镇建设发展中心：主要负责国土资源、规划建设、园林绿化、环境保护、交通等方面的服务工作；协助镇政府制定国土资源、园林绿化、环境保护的长远规划和年度计划并组织实施；协助镇政府贯彻落实统筹城乡发展、加快推进城乡一体化工作总体部署和目标。</w:t>
      </w:r>
    </w:p>
    <w:p w14:paraId="55C48580">
      <w:pPr>
        <w:spacing w:line="580" w:lineRule="exact"/>
        <w:ind w:firstLine="640"/>
        <w:jc w:val="both"/>
      </w:pPr>
      <w:r>
        <w:rPr>
          <w:rFonts w:ascii="仿宋_GB2312" w:hAnsi="仿宋_GB2312" w:eastAsia="仿宋_GB2312"/>
          <w:sz w:val="32"/>
        </w:rPr>
        <w:t>3.便民服务中心：负责辖区政务服务具体工作。负责规范综合窗口设置，集中受理、办理群众关心关注的政务服务事项，承接县直部门下放的审批权限，实行“一站式”服务、“一门式”办理。负责窗口工作人员管理和干部队伍建设。负责组建帮办代办队伍，通过网办、帮办、代办、现场办等方式，为群众提供服务。建立健全首问负责、一次性告知、限时办结、服务承诺、责任追究、考评考核等便民服务制度。负责服务事项、办事指南、窗口帮办代办人员名单及服务范围等政务（信息）公开工作。</w:t>
      </w:r>
    </w:p>
    <w:p w14:paraId="5582751F">
      <w:pPr>
        <w:spacing w:line="580" w:lineRule="exact"/>
        <w:ind w:firstLine="640"/>
        <w:jc w:val="both"/>
      </w:pPr>
      <w:r>
        <w:rPr>
          <w:rFonts w:ascii="仿宋_GB2312" w:hAnsi="仿宋_GB2312" w:eastAsia="仿宋_GB2312"/>
          <w:sz w:val="32"/>
        </w:rPr>
        <w:t>4.公共文化服务中心：主要负责文化、宣传、科技、体育、广播电视、旅游等方面的服务工作。协助镇政府制定文化、宣传、科技、体育、广播电视、旅游等工作的长远发展规划和年度计划并组织实施。承担志愿者服务工作。</w:t>
      </w:r>
    </w:p>
    <w:p w14:paraId="1344FD1D">
      <w:pPr>
        <w:spacing w:line="580" w:lineRule="exact"/>
        <w:ind w:firstLine="640"/>
        <w:jc w:val="both"/>
      </w:pPr>
      <w:r>
        <w:rPr>
          <w:rFonts w:ascii="仿宋_GB2312" w:hAnsi="仿宋_GB2312" w:eastAsia="仿宋_GB2312"/>
          <w:sz w:val="32"/>
        </w:rPr>
        <w:t>5.综治和网格化服务中心</w:t>
      </w:r>
      <w:r>
        <w:rPr>
          <w:rFonts w:hint="eastAsia" w:ascii="仿宋_GB2312" w:hAnsi="仿宋_GB2312" w:eastAsia="仿宋_GB2312"/>
          <w:sz w:val="32"/>
          <w:lang w:eastAsia="zh-CN"/>
        </w:rPr>
        <w:t>：</w:t>
      </w:r>
      <w:r>
        <w:rPr>
          <w:rFonts w:ascii="仿宋_GB2312" w:hAnsi="仿宋_GB2312" w:eastAsia="仿宋_GB2312"/>
          <w:sz w:val="32"/>
        </w:rPr>
        <w:t>主要负责社会治安综合治理、法治建设、平安创建、网格化管理、安全生产、应急管理、人民武装等方面的服务工作。协助镇政府制定社会治安综合治理、法治建设、平安创建、网格化管理、安全生产等工作的长远规划和年度计划并组织实施。协助做好党的社会工作。坚持和发展新时代“枫桥经验”，负责群众信访、矛盾纠纷调解、安置帮教、社区矫正、普法、预防未成年人违法犯罪等工作。负责禁毒宣传教育、社区戒毒和社区康复、社会面吸毒人员的服务管理工作。负责流动人口管理工作，管</w:t>
      </w:r>
      <w:r>
        <w:rPr>
          <w:rFonts w:hint="eastAsia" w:ascii="仿宋_GB2312" w:hAnsi="仿宋_GB2312" w:eastAsia="仿宋_GB2312"/>
          <w:sz w:val="32"/>
          <w:lang w:eastAsia="zh-CN"/>
        </w:rPr>
        <w:t>理和</w:t>
      </w:r>
      <w:r>
        <w:rPr>
          <w:rFonts w:ascii="仿宋_GB2312" w:hAnsi="仿宋_GB2312" w:eastAsia="仿宋_GB2312"/>
          <w:sz w:val="32"/>
        </w:rPr>
        <w:t>指导基层网格员队伍等。负责特殊群体的帮教帮扶、解决群众困难诉求等工作。负责群众工作机制的落实，拓展教育服务群众的形式和载体。</w:t>
      </w:r>
    </w:p>
    <w:p w14:paraId="274D9DAF">
      <w:pPr>
        <w:spacing w:line="640" w:lineRule="exact"/>
        <w:ind w:firstLine="640"/>
        <w:jc w:val="both"/>
        <w:outlineLvl w:val="2"/>
      </w:pPr>
      <w:r>
        <w:rPr>
          <w:rFonts w:ascii="黑体" w:hAnsi="黑体" w:eastAsia="黑体"/>
          <w:sz w:val="32"/>
        </w:rPr>
        <w:t>二、机构设置及人员情况</w:t>
      </w:r>
    </w:p>
    <w:p w14:paraId="5AD1E7D0">
      <w:pPr>
        <w:spacing w:line="580" w:lineRule="exact"/>
        <w:ind w:firstLine="640"/>
        <w:jc w:val="both"/>
      </w:pPr>
      <w:r>
        <w:rPr>
          <w:rFonts w:ascii="仿宋_GB2312" w:hAnsi="仿宋_GB2312" w:eastAsia="仿宋_GB2312"/>
          <w:sz w:val="32"/>
        </w:rPr>
        <w:t>特克斯县喀拉托海镇人民政府2024年度，实有人数195人，其中：在职人员130人，减少5人；离休人员0人，增加0人；退休人员65人,减少2人。</w:t>
      </w:r>
    </w:p>
    <w:p w14:paraId="7A3CE5CD">
      <w:pPr>
        <w:spacing w:line="580" w:lineRule="exact"/>
        <w:ind w:firstLine="640"/>
        <w:jc w:val="both"/>
        <w:rPr>
          <w:spacing w:val="-6"/>
          <w:sz w:val="32"/>
        </w:rPr>
      </w:pPr>
      <w:r>
        <w:rPr>
          <w:rFonts w:ascii="仿宋_GB2312" w:hAnsi="仿宋_GB2312" w:eastAsia="仿宋_GB2312"/>
          <w:spacing w:val="-6"/>
          <w:sz w:val="32"/>
        </w:rPr>
        <w:t>特克斯县喀拉托海镇人民政府无下属预算</w:t>
      </w:r>
      <w:r>
        <w:rPr>
          <w:rFonts w:hint="eastAsia" w:ascii="仿宋_GB2312" w:hAnsi="仿宋_GB2312" w:eastAsia="仿宋_GB2312"/>
          <w:spacing w:val="-6"/>
          <w:sz w:val="32"/>
          <w:lang w:eastAsia="zh-CN"/>
        </w:rPr>
        <w:t>单位</w:t>
      </w:r>
      <w:r>
        <w:rPr>
          <w:rFonts w:ascii="仿宋_GB2312" w:hAnsi="仿宋_GB2312" w:eastAsia="仿宋_GB2312"/>
          <w:spacing w:val="-6"/>
          <w:sz w:val="32"/>
        </w:rPr>
        <w:t>，下设10个科室，分别是：党政办公室、党建办公室、经济发展和财政办公室、卫生健康办公室、文化活动办公室、社会事务办公室、农业发展办公室、国土规划办公室、综合治理办公室、综合执法办公室。</w:t>
      </w:r>
    </w:p>
    <w:p w14:paraId="08272304">
      <w:r>
        <w:br w:type="page"/>
      </w:r>
    </w:p>
    <w:p w14:paraId="557FAEB8">
      <w:pPr>
        <w:spacing w:line="240" w:lineRule="auto"/>
        <w:jc w:val="center"/>
        <w:outlineLvl w:val="1"/>
      </w:pPr>
      <w:r>
        <w:rPr>
          <w:rFonts w:ascii="黑体" w:hAnsi="黑体" w:eastAsia="黑体"/>
          <w:sz w:val="32"/>
        </w:rPr>
        <w:t>第二部分 部门决算情况说明</w:t>
      </w:r>
    </w:p>
    <w:p w14:paraId="59F39C86">
      <w:pPr>
        <w:spacing w:line="640" w:lineRule="exact"/>
        <w:ind w:firstLine="640"/>
        <w:jc w:val="both"/>
        <w:outlineLvl w:val="2"/>
      </w:pPr>
      <w:r>
        <w:rPr>
          <w:rFonts w:ascii="黑体" w:hAnsi="黑体" w:eastAsia="黑体"/>
          <w:sz w:val="32"/>
        </w:rPr>
        <w:t>一、收入支出决算总体情况说明</w:t>
      </w:r>
    </w:p>
    <w:p w14:paraId="7365A5F4">
      <w:pPr>
        <w:spacing w:line="580" w:lineRule="exact"/>
        <w:ind w:firstLine="640"/>
        <w:jc w:val="both"/>
      </w:pPr>
      <w:r>
        <w:rPr>
          <w:rFonts w:ascii="仿宋_GB2312" w:hAnsi="仿宋_GB2312" w:eastAsia="仿宋_GB2312"/>
          <w:b/>
          <w:sz w:val="32"/>
        </w:rPr>
        <w:t>2024年度收入总计3,933.09万元，</w:t>
      </w:r>
      <w:r>
        <w:rPr>
          <w:rFonts w:ascii="仿宋_GB2312" w:hAnsi="仿宋_GB2312" w:eastAsia="仿宋_GB2312"/>
          <w:b w:val="0"/>
          <w:sz w:val="32"/>
        </w:rPr>
        <w:t>其中：本年收入合计3,933.09万元，使用非财政拨款结余（含专用结余）0.00万元，年初结转和结余0.00万元。</w:t>
      </w:r>
    </w:p>
    <w:p w14:paraId="68573C21">
      <w:pPr>
        <w:spacing w:line="580" w:lineRule="exact"/>
        <w:ind w:firstLine="640"/>
        <w:jc w:val="both"/>
      </w:pPr>
      <w:r>
        <w:rPr>
          <w:rFonts w:ascii="仿宋_GB2312" w:hAnsi="仿宋_GB2312" w:eastAsia="仿宋_GB2312"/>
          <w:b/>
          <w:sz w:val="32"/>
        </w:rPr>
        <w:t>2024年度支出总计3,933.09万元，</w:t>
      </w:r>
      <w:r>
        <w:rPr>
          <w:rFonts w:ascii="仿宋_GB2312" w:hAnsi="仿宋_GB2312" w:eastAsia="仿宋_GB2312"/>
          <w:b w:val="0"/>
          <w:sz w:val="32"/>
        </w:rPr>
        <w:t>其中：本年支出合计3,933.09万元，结余分配0.00万元，年末结转和结余0.00万元。</w:t>
      </w:r>
    </w:p>
    <w:p w14:paraId="34965CAA">
      <w:pPr>
        <w:spacing w:line="580" w:lineRule="exact"/>
        <w:ind w:firstLine="640"/>
        <w:jc w:val="both"/>
      </w:pPr>
      <w:r>
        <w:rPr>
          <w:rFonts w:ascii="仿宋_GB2312" w:hAnsi="仿宋_GB2312" w:eastAsia="仿宋_GB2312"/>
          <w:b w:val="0"/>
          <w:sz w:val="32"/>
        </w:rPr>
        <w:t>收入支出总体与上年相比，减少2,250.84万元，下降36.40%，主要原因是：本年减少伊犁州特克斯县喀拉托海镇污水管网建设项目、喀拉托海镇音加尔村污水管网建设项目等项目。</w:t>
      </w:r>
    </w:p>
    <w:p w14:paraId="4573C7C3">
      <w:pPr>
        <w:spacing w:line="640" w:lineRule="exact"/>
        <w:ind w:firstLine="640"/>
        <w:jc w:val="both"/>
        <w:outlineLvl w:val="2"/>
      </w:pPr>
      <w:r>
        <w:rPr>
          <w:rFonts w:ascii="黑体" w:hAnsi="黑体" w:eastAsia="黑体"/>
          <w:sz w:val="32"/>
        </w:rPr>
        <w:t>二、收入决算情况说明</w:t>
      </w:r>
    </w:p>
    <w:p w14:paraId="37540B54">
      <w:pPr>
        <w:spacing w:line="580" w:lineRule="exact"/>
        <w:ind w:firstLine="640"/>
        <w:jc w:val="both"/>
      </w:pPr>
      <w:r>
        <w:rPr>
          <w:rFonts w:ascii="仿宋_GB2312" w:hAnsi="仿宋_GB2312" w:eastAsia="仿宋_GB2312"/>
          <w:b/>
          <w:sz w:val="32"/>
        </w:rPr>
        <w:t>本年收入3,933.09万元，</w:t>
      </w:r>
      <w:r>
        <w:rPr>
          <w:rFonts w:ascii="仿宋_GB2312" w:hAnsi="仿宋_GB2312" w:eastAsia="仿宋_GB2312"/>
          <w:b w:val="0"/>
          <w:sz w:val="32"/>
        </w:rPr>
        <w:t>其中：财政拨款收入3,933.09万元，占100.00%；上级补助收入0.00万元，占0.00%；事业收入0.00万元，占0.00%；经营收入0.00万元，占0.00%；附属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34CA34EF">
      <w:pPr>
        <w:spacing w:line="640" w:lineRule="exact"/>
        <w:ind w:firstLine="640"/>
        <w:jc w:val="both"/>
        <w:outlineLvl w:val="2"/>
      </w:pPr>
      <w:r>
        <w:rPr>
          <w:rFonts w:ascii="黑体" w:hAnsi="黑体" w:eastAsia="黑体"/>
          <w:sz w:val="32"/>
        </w:rPr>
        <w:t>三、支出决算情况说明</w:t>
      </w:r>
    </w:p>
    <w:p w14:paraId="092B28B0">
      <w:pPr>
        <w:spacing w:line="580" w:lineRule="exact"/>
        <w:ind w:firstLine="640"/>
        <w:jc w:val="both"/>
      </w:pPr>
      <w:r>
        <w:rPr>
          <w:rFonts w:ascii="仿宋_GB2312" w:hAnsi="仿宋_GB2312" w:eastAsia="仿宋_GB2312"/>
          <w:b/>
          <w:sz w:val="32"/>
        </w:rPr>
        <w:t>本年支出3,933.09万元，</w:t>
      </w:r>
      <w:r>
        <w:rPr>
          <w:rFonts w:ascii="仿宋_GB2312" w:hAnsi="仿宋_GB2312" w:eastAsia="仿宋_GB2312"/>
          <w:b w:val="0"/>
          <w:sz w:val="32"/>
        </w:rPr>
        <w:t>其中：基本支出2,768.06万元，占70.38%；项目支出1,165.04万元，占29.62%；上缴上级支出0.00万元，占0.00%；经营支出0.00万元，占0.00%；对附属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BA1AA6F">
      <w:pPr>
        <w:spacing w:line="640" w:lineRule="exact"/>
        <w:ind w:firstLine="640"/>
        <w:jc w:val="both"/>
        <w:outlineLvl w:val="2"/>
      </w:pPr>
      <w:r>
        <w:rPr>
          <w:rFonts w:ascii="黑体" w:hAnsi="黑体" w:eastAsia="黑体"/>
          <w:sz w:val="32"/>
        </w:rPr>
        <w:t>四、财政拨款收入支出决算总体情况说明</w:t>
      </w:r>
    </w:p>
    <w:p w14:paraId="1B1C42D0">
      <w:pPr>
        <w:spacing w:line="580" w:lineRule="exact"/>
        <w:ind w:firstLine="640"/>
        <w:jc w:val="both"/>
      </w:pPr>
      <w:r>
        <w:rPr>
          <w:rFonts w:ascii="仿宋_GB2312" w:hAnsi="仿宋_GB2312" w:eastAsia="仿宋_GB2312"/>
          <w:b/>
          <w:sz w:val="32"/>
        </w:rPr>
        <w:t>2024年度财政拨款收入总计3,933.09万元，</w:t>
      </w:r>
      <w:r>
        <w:rPr>
          <w:rFonts w:ascii="仿宋_GB2312" w:hAnsi="仿宋_GB2312" w:eastAsia="仿宋_GB2312"/>
          <w:b w:val="0"/>
          <w:sz w:val="32"/>
        </w:rPr>
        <w:t>其中：年初财政拨款结转和结余0.00万元，本年财政拨款收入3,933.09万元。</w:t>
      </w:r>
      <w:r>
        <w:rPr>
          <w:rFonts w:ascii="仿宋_GB2312" w:hAnsi="仿宋_GB2312" w:eastAsia="仿宋_GB2312"/>
          <w:b/>
          <w:sz w:val="32"/>
        </w:rPr>
        <w:t>财政拨款支出总计3,933.09万元，</w:t>
      </w:r>
      <w:r>
        <w:rPr>
          <w:rFonts w:ascii="仿宋_GB2312" w:hAnsi="仿宋_GB2312" w:eastAsia="仿宋_GB2312"/>
          <w:b w:val="0"/>
          <w:sz w:val="32"/>
        </w:rPr>
        <w:t>其中：年末财政拨款结转和结余0.00万元，本年财政拨款支出3,933.09万元。</w:t>
      </w:r>
    </w:p>
    <w:p w14:paraId="1010718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减少2,250.84万元，下降36.40%，主要原因是：本年减少伊犁州特克斯县喀拉托海镇污水管网建设项目、喀拉托海镇音加尔村污水管网建设项目等项目。</w:t>
      </w:r>
      <w:r>
        <w:rPr>
          <w:rFonts w:ascii="仿宋_GB2312" w:hAnsi="仿宋_GB2312" w:eastAsia="仿宋_GB2312"/>
          <w:b/>
          <w:sz w:val="32"/>
        </w:rPr>
        <w:t>与年初预算相比，</w:t>
      </w:r>
      <w:r>
        <w:rPr>
          <w:rFonts w:ascii="仿宋_GB2312" w:hAnsi="仿宋_GB2312" w:eastAsia="仿宋_GB2312"/>
          <w:b w:val="0"/>
          <w:sz w:val="32"/>
        </w:rPr>
        <w:t>年初预算数2,474.12万元，决算数3,933.09万元，预决算差异率58.97%，主要原因是：年中追加S329线阿尕尔森至特克斯县公路建设项目征地安置补偿金项目、特克斯县喀拉托海镇2023年村民服务中心建设项目等项目，导致预决算存在差异。</w:t>
      </w:r>
    </w:p>
    <w:p w14:paraId="405EE4BD">
      <w:pPr>
        <w:spacing w:line="640" w:lineRule="exact"/>
        <w:ind w:firstLine="640"/>
        <w:jc w:val="both"/>
        <w:outlineLvl w:val="2"/>
      </w:pPr>
      <w:r>
        <w:rPr>
          <w:rFonts w:ascii="黑体" w:hAnsi="黑体" w:eastAsia="黑体"/>
          <w:sz w:val="32"/>
        </w:rPr>
        <w:t>五、一般公共预算财政拨款支出决算情况说明</w:t>
      </w:r>
    </w:p>
    <w:p w14:paraId="622A8FFA">
      <w:pPr>
        <w:spacing w:line="640" w:lineRule="exact"/>
        <w:ind w:firstLine="640"/>
        <w:jc w:val="both"/>
        <w:outlineLvl w:val="3"/>
      </w:pPr>
      <w:r>
        <w:rPr>
          <w:rFonts w:ascii="楷体_GB2312" w:hAnsi="楷体_GB2312" w:eastAsia="楷体_GB2312"/>
          <w:b/>
          <w:sz w:val="32"/>
        </w:rPr>
        <w:t>（一）一般公共预算财政拨款支出决算总体情况</w:t>
      </w:r>
    </w:p>
    <w:p w14:paraId="2044BC71">
      <w:pPr>
        <w:spacing w:line="580" w:lineRule="exact"/>
        <w:ind w:firstLine="640"/>
        <w:jc w:val="both"/>
      </w:pPr>
      <w:r>
        <w:rPr>
          <w:rFonts w:ascii="仿宋_GB2312" w:hAnsi="仿宋_GB2312" w:eastAsia="仿宋_GB2312"/>
          <w:b/>
          <w:sz w:val="32"/>
        </w:rPr>
        <w:t>2024年度一般公共预算财政拨款支出3,825.62万元，</w:t>
      </w:r>
      <w:r>
        <w:rPr>
          <w:rFonts w:ascii="仿宋_GB2312" w:hAnsi="仿宋_GB2312" w:eastAsia="仿宋_GB2312"/>
          <w:b w:val="0"/>
          <w:sz w:val="32"/>
        </w:rPr>
        <w:t>占本年支出合计的97.27%。</w:t>
      </w:r>
      <w:r>
        <w:rPr>
          <w:rFonts w:ascii="仿宋_GB2312" w:hAnsi="仿宋_GB2312" w:eastAsia="仿宋_GB2312"/>
          <w:b/>
          <w:sz w:val="32"/>
        </w:rPr>
        <w:t>与上年相比，</w:t>
      </w:r>
      <w:r>
        <w:rPr>
          <w:rFonts w:ascii="仿宋_GB2312" w:hAnsi="仿宋_GB2312" w:eastAsia="仿宋_GB2312"/>
          <w:b w:val="0"/>
          <w:sz w:val="32"/>
        </w:rPr>
        <w:t>减少2,358.31万元，下降38.14%，主要原因是：本年减少伊犁州特克斯县喀拉托海镇污水管网建设项目、喀拉托海镇音加尔村污水管网建设项目等一般公共预算财政拨款资金来源项目。</w:t>
      </w:r>
      <w:r>
        <w:rPr>
          <w:rFonts w:ascii="仿宋_GB2312" w:hAnsi="仿宋_GB2312" w:eastAsia="仿宋_GB2312"/>
          <w:b/>
          <w:sz w:val="32"/>
        </w:rPr>
        <w:t>与年初预算相比,</w:t>
      </w:r>
      <w:r>
        <w:rPr>
          <w:rFonts w:ascii="仿宋_GB2312" w:hAnsi="仿宋_GB2312" w:eastAsia="仿宋_GB2312"/>
          <w:b w:val="0"/>
          <w:sz w:val="32"/>
        </w:rPr>
        <w:t>年初预算数2,474.12万元，决算数3,825.62万元，预决算差异率54.63%，主要原因是：年中追加特克斯县喀拉托海镇2023年村民服务中心建设项目，导致预决算存在差异。</w:t>
      </w:r>
    </w:p>
    <w:p w14:paraId="44A52D76">
      <w:pPr>
        <w:spacing w:line="640" w:lineRule="exact"/>
        <w:ind w:firstLine="640"/>
        <w:jc w:val="both"/>
        <w:outlineLvl w:val="3"/>
      </w:pPr>
      <w:r>
        <w:rPr>
          <w:rFonts w:ascii="楷体_GB2312" w:hAnsi="楷体_GB2312" w:eastAsia="楷体_GB2312"/>
          <w:b/>
          <w:sz w:val="32"/>
        </w:rPr>
        <w:t>（二）一般公共预算财政拨款支出决算结构情况</w:t>
      </w:r>
    </w:p>
    <w:p w14:paraId="55D90F5E">
      <w:pPr>
        <w:spacing w:line="580" w:lineRule="exact"/>
        <w:ind w:firstLine="640"/>
        <w:jc w:val="both"/>
      </w:pPr>
      <w:r>
        <w:rPr>
          <w:rFonts w:ascii="仿宋_GB2312" w:hAnsi="仿宋_GB2312" w:eastAsia="仿宋_GB2312"/>
          <w:b w:val="0"/>
          <w:sz w:val="32"/>
        </w:rPr>
        <w:t>1.一般公共服务支出(类)1,672.46万元,占43.72%。</w:t>
      </w:r>
    </w:p>
    <w:p w14:paraId="7879EA19">
      <w:pPr>
        <w:spacing w:line="580" w:lineRule="exact"/>
        <w:ind w:firstLine="640"/>
        <w:jc w:val="both"/>
      </w:pPr>
      <w:r>
        <w:rPr>
          <w:rFonts w:ascii="仿宋_GB2312" w:hAnsi="仿宋_GB2312" w:eastAsia="仿宋_GB2312"/>
          <w:b w:val="0"/>
          <w:sz w:val="32"/>
        </w:rPr>
        <w:t>2.文化旅游体育与传媒支出(类)99.84万元,占2.61%。</w:t>
      </w:r>
    </w:p>
    <w:p w14:paraId="5273B271">
      <w:pPr>
        <w:spacing w:line="580" w:lineRule="exact"/>
        <w:ind w:firstLine="640"/>
        <w:jc w:val="both"/>
      </w:pPr>
      <w:r>
        <w:rPr>
          <w:rFonts w:ascii="仿宋_GB2312" w:hAnsi="仿宋_GB2312" w:eastAsia="仿宋_GB2312"/>
          <w:b w:val="0"/>
          <w:sz w:val="32"/>
        </w:rPr>
        <w:t>3.社会保障和就业支出(类)288.42万元,占7.54%。</w:t>
      </w:r>
    </w:p>
    <w:p w14:paraId="65D00637">
      <w:pPr>
        <w:spacing w:line="580" w:lineRule="exact"/>
        <w:ind w:firstLine="640"/>
        <w:jc w:val="both"/>
      </w:pPr>
      <w:r>
        <w:rPr>
          <w:rFonts w:ascii="仿宋_GB2312" w:hAnsi="仿宋_GB2312" w:eastAsia="仿宋_GB2312"/>
          <w:b w:val="0"/>
          <w:sz w:val="32"/>
        </w:rPr>
        <w:t>4.卫生健康支出(类)201.29万元,占5.26%。</w:t>
      </w:r>
    </w:p>
    <w:p w14:paraId="34AA5567">
      <w:pPr>
        <w:spacing w:line="580" w:lineRule="exact"/>
        <w:ind w:firstLine="640"/>
        <w:jc w:val="both"/>
      </w:pPr>
      <w:r>
        <w:rPr>
          <w:rFonts w:ascii="仿宋_GB2312" w:hAnsi="仿宋_GB2312" w:eastAsia="仿宋_GB2312"/>
          <w:b w:val="0"/>
          <w:sz w:val="32"/>
        </w:rPr>
        <w:t>5.城乡社区支出(类)99.36万元,占2.60%。</w:t>
      </w:r>
    </w:p>
    <w:p w14:paraId="583555C4">
      <w:pPr>
        <w:spacing w:line="580" w:lineRule="exact"/>
        <w:ind w:firstLine="640"/>
        <w:jc w:val="both"/>
      </w:pPr>
      <w:r>
        <w:rPr>
          <w:rFonts w:ascii="仿宋_GB2312" w:hAnsi="仿宋_GB2312" w:eastAsia="仿宋_GB2312"/>
          <w:b w:val="0"/>
          <w:sz w:val="32"/>
        </w:rPr>
        <w:t>6.农林水支出(类)545.58万元,占14.26%。</w:t>
      </w:r>
    </w:p>
    <w:p w14:paraId="1ED0054F">
      <w:pPr>
        <w:spacing w:line="580" w:lineRule="exact"/>
        <w:ind w:firstLine="640"/>
        <w:jc w:val="both"/>
      </w:pPr>
      <w:r>
        <w:rPr>
          <w:rFonts w:ascii="仿宋_GB2312" w:hAnsi="仿宋_GB2312" w:eastAsia="仿宋_GB2312"/>
          <w:b w:val="0"/>
          <w:sz w:val="32"/>
        </w:rPr>
        <w:t>7.住房保障支出(类)918.66万元,占24.01%。</w:t>
      </w:r>
    </w:p>
    <w:p w14:paraId="77932FA6">
      <w:pPr>
        <w:spacing w:line="640" w:lineRule="exact"/>
        <w:ind w:firstLine="640"/>
        <w:jc w:val="both"/>
        <w:outlineLvl w:val="3"/>
      </w:pPr>
      <w:r>
        <w:rPr>
          <w:rFonts w:ascii="楷体_GB2312" w:hAnsi="楷体_GB2312" w:eastAsia="楷体_GB2312"/>
          <w:b/>
          <w:sz w:val="32"/>
        </w:rPr>
        <w:t>（三）一般公共预算财政拨款支出决算具体情况</w:t>
      </w:r>
    </w:p>
    <w:p w14:paraId="128C25AC">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1.一般公共服务支出(类)政府办公厅（室）及相关机构事务(款)行政运行(项):支出决算数为1,488.25万元，比上年决算减少27.32万元，下降1.80%,主要原因是：本年在职人员减少，相应人员经费较上年减少。</w:t>
      </w:r>
    </w:p>
    <w:p w14:paraId="26021269">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2.一般公共服务支出(类)纪检监察事务(款)其他纪检监察事务支出(项):支出决算数为2.00万元，比上年决算增加2.00万元，增长100.00%,主要原因是：本年度增加纪检监察专项经费。</w:t>
      </w:r>
    </w:p>
    <w:p w14:paraId="35B05DC5">
      <w:pPr>
        <w:spacing w:line="580" w:lineRule="exact"/>
        <w:ind w:firstLine="640"/>
        <w:jc w:val="both"/>
      </w:pPr>
      <w:r>
        <w:rPr>
          <w:rFonts w:ascii="仿宋_GB2312" w:hAnsi="仿宋_GB2312" w:eastAsia="仿宋_GB2312"/>
          <w:b w:val="0"/>
          <w:sz w:val="32"/>
        </w:rPr>
        <w:t>3.一般公共服务支出(类)组织事务(款)其他组织事务支出(项):支出决算数为182.21万元，比上年决算减少142.87万元，下降43.95%,主要原因是：本年三老四类、为民办实事补助资金较上年减少。</w:t>
      </w:r>
    </w:p>
    <w:p w14:paraId="662A1592">
      <w:pPr>
        <w:spacing w:line="580" w:lineRule="exact"/>
        <w:ind w:firstLine="640"/>
        <w:jc w:val="both"/>
      </w:pPr>
      <w:r>
        <w:rPr>
          <w:rFonts w:ascii="仿宋_GB2312" w:hAnsi="仿宋_GB2312" w:eastAsia="仿宋_GB2312"/>
          <w:b w:val="0"/>
          <w:sz w:val="32"/>
        </w:rPr>
        <w:t>4.文化旅游体育与传媒支出(类)文化和旅游(款)群众文化(项):支出决算数为98.06万元，比上年决算增加2.88万元，增长3.03%,主要原因是：文体广电服务中心人员工资调增，相应经费支出增加。</w:t>
      </w:r>
    </w:p>
    <w:p w14:paraId="0C778CCC">
      <w:pPr>
        <w:spacing w:line="580" w:lineRule="exact"/>
        <w:ind w:firstLine="640"/>
        <w:jc w:val="both"/>
      </w:pPr>
      <w:r>
        <w:rPr>
          <w:rFonts w:ascii="仿宋_GB2312" w:hAnsi="仿宋_GB2312" w:eastAsia="仿宋_GB2312"/>
          <w:b w:val="0"/>
          <w:sz w:val="32"/>
        </w:rPr>
        <w:t>5.文化旅游体育与传媒支出(类)文化和旅游(款)其他文化和旅游支出(项):支出决算数为1.78万元，比上年决算增加1.78万元，增长100.00%,主要原因是：本</w:t>
      </w:r>
      <w:r>
        <w:rPr>
          <w:rFonts w:hint="eastAsia" w:ascii="仿宋_GB2312" w:hAnsi="仿宋_GB2312" w:eastAsia="仿宋_GB2312"/>
          <w:b w:val="0"/>
          <w:sz w:val="32"/>
          <w:lang w:val="en-US" w:eastAsia="zh-CN"/>
        </w:rPr>
        <w:t>年</w:t>
      </w:r>
      <w:r>
        <w:rPr>
          <w:rFonts w:ascii="仿宋_GB2312" w:hAnsi="仿宋_GB2312" w:eastAsia="仿宋_GB2312"/>
          <w:b w:val="0"/>
          <w:sz w:val="32"/>
        </w:rPr>
        <w:t>增加文体广电服务中心人员经费。</w:t>
      </w:r>
    </w:p>
    <w:p w14:paraId="547D13A6">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基本养老保险缴费支出(项):支出决算数为194.19万元，比上年决算增加17.82万元，增长10.10%,主要原因是：人员正常晋升，工资调增，机关事业</w:t>
      </w:r>
      <w:r>
        <w:rPr>
          <w:rFonts w:hint="eastAsia" w:ascii="仿宋_GB2312" w:hAnsi="仿宋_GB2312" w:eastAsia="仿宋_GB2312"/>
          <w:b w:val="0"/>
          <w:sz w:val="32"/>
          <w:lang w:eastAsia="zh-CN"/>
        </w:rPr>
        <w:t>单位</w:t>
      </w:r>
      <w:r>
        <w:rPr>
          <w:rFonts w:ascii="仿宋_GB2312" w:hAnsi="仿宋_GB2312" w:eastAsia="仿宋_GB2312"/>
          <w:b w:val="0"/>
          <w:sz w:val="32"/>
        </w:rPr>
        <w:t>养老保险缴费支出增加。</w:t>
      </w:r>
    </w:p>
    <w:p w14:paraId="0B21D880">
      <w:pPr>
        <w:spacing w:line="580" w:lineRule="exact"/>
        <w:ind w:firstLine="640"/>
        <w:jc w:val="both"/>
      </w:pPr>
      <w:r>
        <w:rPr>
          <w:rFonts w:ascii="仿宋_GB2312" w:hAnsi="仿宋_GB2312" w:eastAsia="仿宋_GB2312"/>
          <w:b w:val="0"/>
          <w:sz w:val="32"/>
        </w:rPr>
        <w:t>7.社会保障和就业支出(类)行政事业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职业年金缴费支出(项):支出决算数为8.29万元，比上年决算减少30.15万元，下降78.43%,主要原因是：上年度职业年金包含退休人员与在职去世人员职业年金，本年仅支付一名退休人员职业年金，故经费支出减少。</w:t>
      </w:r>
    </w:p>
    <w:p w14:paraId="5775AFAA">
      <w:pPr>
        <w:spacing w:line="580" w:lineRule="exact"/>
        <w:ind w:firstLine="640"/>
        <w:jc w:val="both"/>
      </w:pPr>
      <w:r>
        <w:rPr>
          <w:rFonts w:ascii="仿宋_GB2312" w:hAnsi="仿宋_GB2312" w:eastAsia="仿宋_GB2312"/>
          <w:b w:val="0"/>
          <w:sz w:val="32"/>
        </w:rPr>
        <w:t>8.社会保障和就业支出(类)抚恤(款)死亡抚恤(项):支出决算数为70.20万元，比上年决算增加60.09万元，增长594.36%,主要原因是：本年新增退休死亡人员，死亡抚恤支出增加。</w:t>
      </w:r>
    </w:p>
    <w:p w14:paraId="3556E14A">
      <w:pPr>
        <w:spacing w:line="580" w:lineRule="exact"/>
        <w:ind w:firstLine="640"/>
        <w:jc w:val="both"/>
      </w:pPr>
      <w:r>
        <w:rPr>
          <w:rFonts w:ascii="仿宋_GB2312" w:hAnsi="仿宋_GB2312" w:eastAsia="仿宋_GB2312"/>
          <w:b w:val="0"/>
          <w:sz w:val="32"/>
        </w:rPr>
        <w:t>9.社会保障和就业支出(类)临时救助(款)临时救助支出(项):支出决算数为15.75万元，比上年决算增加7.25万元，增长85.29%,主要原因是：本年度冬季</w:t>
      </w:r>
      <w:r>
        <w:rPr>
          <w:rFonts w:hint="eastAsia" w:ascii="仿宋_GB2312" w:hAnsi="仿宋_GB2312" w:eastAsia="仿宋_GB2312"/>
          <w:b w:val="0"/>
          <w:sz w:val="32"/>
          <w:lang w:eastAsia="zh-CN"/>
        </w:rPr>
        <w:t>困难</w:t>
      </w:r>
      <w:r>
        <w:rPr>
          <w:rFonts w:ascii="仿宋_GB2312" w:hAnsi="仿宋_GB2312" w:eastAsia="仿宋_GB2312"/>
          <w:b w:val="0"/>
          <w:sz w:val="32"/>
        </w:rPr>
        <w:t>群众生活物资采购款增加。</w:t>
      </w:r>
    </w:p>
    <w:p w14:paraId="281606E5">
      <w:pPr>
        <w:spacing w:line="580" w:lineRule="exact"/>
        <w:ind w:firstLine="640"/>
        <w:jc w:val="both"/>
      </w:pPr>
      <w:r>
        <w:rPr>
          <w:rFonts w:ascii="仿宋_GB2312" w:hAnsi="仿宋_GB2312" w:eastAsia="仿宋_GB2312"/>
          <w:b w:val="0"/>
          <w:sz w:val="32"/>
        </w:rPr>
        <w:t>10.卫生健康支出(类)计划生育事务(款)其他计划生育事务支出(项):支出决算数为117.77万元，比上年决算增加10.75万元，增长10.04%,主要原因是：卫生健康服务站人员工资调增，相应人员经费增加。</w:t>
      </w:r>
    </w:p>
    <w:p w14:paraId="070EBBAD">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医疗(项):支出决算数为16.41万元，比上年决算增加0.09万元，增长0.55%,主要原因是：本年在职人员工资基数调增，医疗缴费基数上涨，相应支出增加。</w:t>
      </w:r>
    </w:p>
    <w:p w14:paraId="4BCB9719">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医疗(项):支出决算数为65.08万元，比上年决算增加1.21万元，增长1.89%,主要原因是：本年在职人员工资基数调增，医疗缴费基数上涨，相应支出增加。</w:t>
      </w:r>
    </w:p>
    <w:p w14:paraId="631FFD00">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医疗(款)公务员医疗补助(项):支出决算数为0.42万元，比上年决算增加0.09万元，增长27.27%,主要原因是：本年在职人员工资基数调增，医疗缴费基数上涨，相应支出增加。</w:t>
      </w:r>
    </w:p>
    <w:p w14:paraId="454F0CB7">
      <w:pPr>
        <w:spacing w:line="580" w:lineRule="exact"/>
        <w:ind w:firstLine="640"/>
        <w:jc w:val="both"/>
      </w:pPr>
      <w:r>
        <w:rPr>
          <w:rFonts w:ascii="仿宋_GB2312" w:hAnsi="仿宋_GB2312" w:eastAsia="仿宋_GB2312"/>
          <w:b w:val="0"/>
          <w:sz w:val="32"/>
        </w:rPr>
        <w:t>14.卫生健康支出(类)行政事业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医疗支出(项):支出决算数为1.61万元，比上年决算减少0.80万元，下降33.20%,主要原因是：本年度</w:t>
      </w:r>
      <w:r>
        <w:rPr>
          <w:rFonts w:hint="eastAsia" w:ascii="仿宋_GB2312" w:hAnsi="仿宋_GB2312" w:eastAsia="仿宋_GB2312"/>
          <w:b w:val="0"/>
          <w:sz w:val="32"/>
          <w:lang w:val="en-US" w:eastAsia="zh-CN"/>
        </w:rPr>
        <w:t>大病医疗缴费基数调减</w:t>
      </w:r>
      <w:r>
        <w:rPr>
          <w:rFonts w:ascii="仿宋_GB2312" w:hAnsi="仿宋_GB2312" w:eastAsia="仿宋_GB2312"/>
          <w:b w:val="0"/>
          <w:sz w:val="32"/>
        </w:rPr>
        <w:t>，其他行政事业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医疗支出减少。</w:t>
      </w:r>
    </w:p>
    <w:p w14:paraId="42278043">
      <w:pPr>
        <w:spacing w:line="580" w:lineRule="exact"/>
        <w:ind w:firstLine="640"/>
        <w:jc w:val="both"/>
      </w:pPr>
      <w:r>
        <w:rPr>
          <w:rFonts w:ascii="仿宋_GB2312" w:hAnsi="仿宋_GB2312" w:eastAsia="仿宋_GB2312"/>
          <w:b w:val="0"/>
          <w:sz w:val="32"/>
        </w:rPr>
        <w:t>15.节能环保支出(类)天然林保护(款)森林管护(项):支出决算数为0.00万元，比上年决算减少60.00万元，下降100.00%,主要原因是：本年减少乡村绿化美丽建设项目。</w:t>
      </w:r>
    </w:p>
    <w:p w14:paraId="7A757B30">
      <w:pPr>
        <w:spacing w:line="580" w:lineRule="exact"/>
        <w:ind w:firstLine="640"/>
        <w:jc w:val="both"/>
      </w:pPr>
      <w:r>
        <w:rPr>
          <w:rFonts w:ascii="仿宋_GB2312" w:hAnsi="仿宋_GB2312" w:eastAsia="仿宋_GB2312"/>
          <w:b w:val="0"/>
          <w:sz w:val="32"/>
        </w:rPr>
        <w:t>16.城乡社区支出(类)城乡社区公共设施(款)其他城乡社区公共设施支出(项):支出决算数为99.36万元，比上年决算增加99.36万元，增长100.00%,主要原因是：本年新增特克斯县喀拉托海镇2023年村民服务中心建设项目，柯尔干布拉克村2023年村民服务中心建设项目等项目。</w:t>
      </w:r>
    </w:p>
    <w:p w14:paraId="2D0E12E6">
      <w:pPr>
        <w:spacing w:line="580" w:lineRule="exact"/>
        <w:ind w:firstLine="640"/>
        <w:jc w:val="both"/>
      </w:pPr>
      <w:r>
        <w:rPr>
          <w:rFonts w:ascii="仿宋_GB2312" w:hAnsi="仿宋_GB2312" w:eastAsia="仿宋_GB2312"/>
          <w:b w:val="0"/>
          <w:sz w:val="32"/>
        </w:rPr>
        <w:t>17.农林水支出(类)水利(款)大中型水库移民后期扶持专项支出(项):支出决算数为20.00万元，比上年决算减少160.32万元，下降88.91%,主要原因是：本年减少伊犁州特克斯县喀拉托海镇移民安置区基础设施提升项目。</w:t>
      </w:r>
    </w:p>
    <w:p w14:paraId="033A1FA5">
      <w:pPr>
        <w:spacing w:line="580" w:lineRule="exact"/>
        <w:ind w:firstLine="640"/>
        <w:jc w:val="both"/>
      </w:pPr>
      <w:r>
        <w:rPr>
          <w:rFonts w:ascii="仿宋_GB2312" w:hAnsi="仿宋_GB2312" w:eastAsia="仿宋_GB2312"/>
          <w:b w:val="0"/>
          <w:sz w:val="32"/>
        </w:rPr>
        <w:t>18.农林水支出(类)巩固脱贫攻坚成果衔接乡村振兴(款)农村基础设施建设(项):支出决算数为0.00万元，比上年决算减少600.00万元，下降100.00%,主要原因是：本年减少伊犁州喀拉托海镇污水管网建设项目。</w:t>
      </w:r>
    </w:p>
    <w:p w14:paraId="73C375AB">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63.61万元，比上年决算减少2,055.91万元，下降97.00%,主要原因是：本年度减少伊犁州特克斯县喀拉托海镇音加尔村农贸市场建设项目、伊犁州特克斯县喀拉托海镇音加尔村综合产业园建设项目、伊犁州特克斯县喀拉托海镇音加尔村污水管网建设项目、伊犁州特克斯县音加尔村旅游服务综合体项目（一标段）、伊犁州特克斯县喀拉托海镇简易木桥建设项目。</w:t>
      </w:r>
    </w:p>
    <w:p w14:paraId="3211416A">
      <w:pPr>
        <w:spacing w:line="580" w:lineRule="exact"/>
        <w:ind w:firstLine="640"/>
        <w:jc w:val="both"/>
      </w:pPr>
      <w:r>
        <w:rPr>
          <w:rFonts w:ascii="仿宋_GB2312" w:hAnsi="仿宋_GB2312" w:eastAsia="仿宋_GB2312"/>
          <w:b w:val="0"/>
          <w:sz w:val="32"/>
        </w:rPr>
        <w:t>20.农林水支出(类)巩固脱贫攻坚成果衔接乡村振兴(款)其他巩固脱贫攻坚成果衔接乡村振兴支出(项):支出决算数为18.49万元，比上年决算减少27.45万元，下降59.75%,主要原因是：本年减少伊犁州特克斯县喀拉托海镇简易木桥建设项目。</w:t>
      </w:r>
    </w:p>
    <w:p w14:paraId="10DE4805">
      <w:pPr>
        <w:spacing w:line="580" w:lineRule="exact"/>
        <w:ind w:firstLine="640"/>
        <w:jc w:val="both"/>
      </w:pPr>
      <w:r>
        <w:rPr>
          <w:rFonts w:ascii="仿宋_GB2312" w:hAnsi="仿宋_GB2312" w:eastAsia="仿宋_GB2312"/>
          <w:b w:val="0"/>
          <w:sz w:val="32"/>
        </w:rPr>
        <w:t>21.农林水支出(类)农村综合改革(款)对村级公益事业建设的补助(项):支出决算数为100.00万元，比上年决算增加40.00万元，增长66.67%,主要原因是：本年新增2024年一事一议项目资金，音加尔村农民体育健身工程建设项目等资金。</w:t>
      </w:r>
    </w:p>
    <w:p w14:paraId="3EFDFECD">
      <w:pPr>
        <w:spacing w:line="580" w:lineRule="exact"/>
        <w:ind w:firstLine="640"/>
        <w:jc w:val="both"/>
      </w:pPr>
      <w:r>
        <w:rPr>
          <w:rFonts w:ascii="仿宋_GB2312" w:hAnsi="仿宋_GB2312" w:eastAsia="仿宋_GB2312"/>
          <w:b w:val="0"/>
          <w:sz w:val="32"/>
        </w:rPr>
        <w:t>22.农林水支出(类)农村综合改革(款)对村民委员会和村党支部的补助(项):支出决算数为343.48万元，比上年决算减少275.78万元，下降44.53%,主要原因是：本年度三老四类人员补助2024年由组织部发放、村干部工资2024年6月起由组织部发放，故经费支出减少。</w:t>
      </w:r>
    </w:p>
    <w:p w14:paraId="4967BDD2">
      <w:pPr>
        <w:spacing w:line="580" w:lineRule="exact"/>
        <w:ind w:firstLine="640"/>
        <w:jc w:val="both"/>
      </w:pPr>
      <w:r>
        <w:rPr>
          <w:rFonts w:ascii="仿宋_GB2312" w:hAnsi="仿宋_GB2312" w:eastAsia="仿宋_GB2312"/>
          <w:b w:val="0"/>
          <w:sz w:val="32"/>
        </w:rPr>
        <w:t>23.住房保障支出(类)保障性安居工程支出(款)少数民族地区游牧民定居工程(项):支出决算数为761.60万元，比上年决算增加761.60万元，增长100.00%,主要原因是：本年度新增特克斯县喀拉托海镇牧民越冬放牧点生产用房（居住）项目、喀拉托海镇也什克勒克村牧民越冬放牧点生产用房（居住）项目。</w:t>
      </w:r>
    </w:p>
    <w:p w14:paraId="4E843ACB">
      <w:pPr>
        <w:spacing w:line="580" w:lineRule="exact"/>
        <w:ind w:firstLine="640"/>
        <w:jc w:val="both"/>
      </w:pPr>
      <w:r>
        <w:rPr>
          <w:rFonts w:ascii="仿宋_GB2312" w:hAnsi="仿宋_GB2312" w:eastAsia="仿宋_GB2312"/>
          <w:b w:val="0"/>
          <w:sz w:val="32"/>
        </w:rPr>
        <w:t>24.住房保障支出(类)住房改革支出(款)住房公积金(项):支出决算数为157.06万元，比上年决算增加17.36万元，增长12.43%,主要原因是：本年在职人员工资基数调增，公积金缴费基数上涨，相应支出增加。</w:t>
      </w:r>
    </w:p>
    <w:p w14:paraId="45750308">
      <w:pPr>
        <w:spacing w:line="640" w:lineRule="exact"/>
        <w:ind w:firstLine="640"/>
        <w:jc w:val="both"/>
        <w:outlineLvl w:val="2"/>
      </w:pPr>
      <w:r>
        <w:rPr>
          <w:rFonts w:ascii="黑体" w:hAnsi="黑体" w:eastAsia="黑体"/>
          <w:sz w:val="32"/>
        </w:rPr>
        <w:t>六、一般公共预算财政拨款基本支出决算情况说明</w:t>
      </w:r>
    </w:p>
    <w:p w14:paraId="15A1E075">
      <w:pPr>
        <w:spacing w:line="580" w:lineRule="exact"/>
        <w:ind w:firstLine="640"/>
        <w:jc w:val="both"/>
      </w:pPr>
      <w:r>
        <w:rPr>
          <w:rFonts w:ascii="仿宋_GB2312" w:hAnsi="仿宋_GB2312" w:eastAsia="仿宋_GB2312"/>
          <w:b w:val="0"/>
          <w:sz w:val="32"/>
        </w:rPr>
        <w:t>2024年度一般公共预算财政拨款基本支出2,768.06万元，其中：</w:t>
      </w:r>
      <w:r>
        <w:rPr>
          <w:rFonts w:ascii="仿宋_GB2312" w:hAnsi="仿宋_GB2312" w:eastAsia="仿宋_GB2312"/>
          <w:b/>
          <w:sz w:val="32"/>
        </w:rPr>
        <w:t>人员经费2,523.59万元，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基本养老保险缴费、职业年金缴费、职工基本医疗保险缴费、公务员医疗补助缴费、其他社会保障缴费、住房公积金、其他工资福利支出、退休费、抚恤金、生活补助、其他对个人和家庭的补助。</w:t>
      </w:r>
    </w:p>
    <w:p w14:paraId="729F097F">
      <w:pPr>
        <w:spacing w:line="580" w:lineRule="exact"/>
        <w:ind w:firstLine="640"/>
        <w:jc w:val="both"/>
      </w:pPr>
      <w:r>
        <w:rPr>
          <w:rFonts w:ascii="仿宋_GB2312" w:hAnsi="仿宋_GB2312" w:eastAsia="仿宋_GB2312"/>
          <w:b/>
          <w:sz w:val="32"/>
        </w:rPr>
        <w:t>公用经费244.47万元，</w:t>
      </w:r>
      <w:r>
        <w:rPr>
          <w:rFonts w:ascii="仿宋_GB2312" w:hAnsi="仿宋_GB2312" w:eastAsia="仿宋_GB2312"/>
          <w:b w:val="0"/>
          <w:sz w:val="32"/>
        </w:rPr>
        <w:t>包括：办公费、水费、电费、邮电费、取暖费、差旅费、工会经费、公务用车运行维护费、税金及附加费用、办公设备购置。</w:t>
      </w:r>
    </w:p>
    <w:p w14:paraId="585FDE6F">
      <w:pPr>
        <w:spacing w:line="640" w:lineRule="exact"/>
        <w:ind w:firstLine="640"/>
        <w:jc w:val="both"/>
        <w:outlineLvl w:val="2"/>
      </w:pPr>
      <w:r>
        <w:rPr>
          <w:rFonts w:ascii="黑体" w:hAnsi="黑体" w:eastAsia="黑体"/>
          <w:sz w:val="32"/>
        </w:rPr>
        <w:t>七、政府性基金预算财政拨款收入支出决算情况说明</w:t>
      </w:r>
    </w:p>
    <w:p w14:paraId="20EDFAB4">
      <w:pPr>
        <w:spacing w:line="580" w:lineRule="exact"/>
        <w:ind w:firstLine="640"/>
        <w:jc w:val="both"/>
      </w:pPr>
      <w:r>
        <w:rPr>
          <w:rFonts w:ascii="仿宋_GB2312" w:hAnsi="仿宋_GB2312" w:eastAsia="仿宋_GB2312"/>
          <w:b/>
          <w:sz w:val="32"/>
        </w:rPr>
        <w:t>2024年度政府性基金预算财政拨款收入总计107.48万元，</w:t>
      </w:r>
      <w:r>
        <w:rPr>
          <w:rFonts w:ascii="仿宋_GB2312" w:hAnsi="仿宋_GB2312" w:eastAsia="仿宋_GB2312"/>
          <w:b w:val="0"/>
          <w:sz w:val="32"/>
        </w:rPr>
        <w:t>其中：年初结转和结余0.00万元，本年收入107.48万元。</w:t>
      </w:r>
      <w:r>
        <w:rPr>
          <w:rFonts w:ascii="仿宋_GB2312" w:hAnsi="仿宋_GB2312" w:eastAsia="仿宋_GB2312"/>
          <w:b/>
          <w:sz w:val="32"/>
        </w:rPr>
        <w:t>政府性基金预算财政拨款支出总计107.48万元，</w:t>
      </w:r>
      <w:r>
        <w:rPr>
          <w:rFonts w:ascii="仿宋_GB2312" w:hAnsi="仿宋_GB2312" w:eastAsia="仿宋_GB2312"/>
          <w:b w:val="0"/>
          <w:sz w:val="32"/>
        </w:rPr>
        <w:t>其中：年末结转和结余0.00万元，本年支出107.48万元。</w:t>
      </w:r>
    </w:p>
    <w:p w14:paraId="416A483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增加107.48万元，增长100.00%，主要原因是：本年增加S329线阿尕尔森乡至特克斯县公路建设项目征地安置补偿金项目。</w:t>
      </w:r>
      <w:r>
        <w:rPr>
          <w:rFonts w:ascii="仿宋_GB2312" w:hAnsi="仿宋_GB2312" w:eastAsia="仿宋_GB2312"/>
          <w:b/>
          <w:sz w:val="32"/>
        </w:rPr>
        <w:t>与年初预算相比，</w:t>
      </w:r>
      <w:r>
        <w:rPr>
          <w:rFonts w:ascii="仿宋_GB2312" w:hAnsi="仿宋_GB2312" w:eastAsia="仿宋_GB2312"/>
          <w:b w:val="0"/>
          <w:sz w:val="32"/>
        </w:rPr>
        <w:t>年初预算数0.00万元，决算数107.48万元，预决算差异率100.00%，主要原因是：年中追加S329线阿尕尔森乡至特克斯县公路建设项目征地安置补偿金项目，导致预决算存在差异。</w:t>
      </w:r>
    </w:p>
    <w:p w14:paraId="2EC93029">
      <w:pPr>
        <w:spacing w:line="580" w:lineRule="exact"/>
        <w:ind w:firstLine="640"/>
        <w:jc w:val="both"/>
      </w:pPr>
      <w:r>
        <w:rPr>
          <w:rFonts w:ascii="仿宋_GB2312" w:hAnsi="仿宋_GB2312" w:eastAsia="仿宋_GB2312"/>
          <w:b w:val="0"/>
          <w:sz w:val="32"/>
        </w:rPr>
        <w:t>政府性基金预算财政拨款支出107.48万元。</w:t>
      </w:r>
    </w:p>
    <w:p w14:paraId="5540A419">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75.41万元，比上年决算增加75.41万元，增长100.00%,主要原因是：本年增加S329线阿尕尔森乡至特克斯县公路建设项目征地安置补偿金项目。</w:t>
      </w:r>
    </w:p>
    <w:p w14:paraId="42C20035">
      <w:pPr>
        <w:spacing w:line="580" w:lineRule="exact"/>
        <w:ind w:firstLine="640"/>
        <w:jc w:val="both"/>
      </w:pPr>
      <w:r>
        <w:rPr>
          <w:rFonts w:ascii="仿宋_GB2312" w:hAnsi="仿宋_GB2312" w:eastAsia="仿宋_GB2312"/>
          <w:b w:val="0"/>
          <w:sz w:val="32"/>
        </w:rPr>
        <w:t>2.农林水支出(类)大中型水库移民后期扶持基金支出(款)基础设施建设和经济发展(项):支出决算数为32.07万元，比上年决算增加32.07万元，增长100.00%,主要原因是：本年增加中央水库移民扶持项目资金。</w:t>
      </w:r>
    </w:p>
    <w:p w14:paraId="119F26EC">
      <w:pPr>
        <w:spacing w:line="640" w:lineRule="exact"/>
        <w:ind w:firstLine="640"/>
        <w:jc w:val="both"/>
        <w:outlineLvl w:val="2"/>
      </w:pPr>
      <w:r>
        <w:rPr>
          <w:rFonts w:ascii="黑体" w:hAnsi="黑体" w:eastAsia="黑体"/>
          <w:sz w:val="32"/>
        </w:rPr>
        <w:t>八、国有资本经营预算财政拨款收入支出决算情况说明</w:t>
      </w:r>
    </w:p>
    <w:p w14:paraId="4ECCE3A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31D1776">
      <w:pPr>
        <w:spacing w:line="640" w:lineRule="exact"/>
        <w:ind w:firstLine="640"/>
        <w:jc w:val="both"/>
        <w:outlineLvl w:val="2"/>
      </w:pPr>
      <w:r>
        <w:rPr>
          <w:rFonts w:ascii="黑体" w:hAnsi="黑体" w:eastAsia="黑体"/>
          <w:sz w:val="32"/>
        </w:rPr>
        <w:t>九、财政拨款“三公”经费支出决算情况说明</w:t>
      </w:r>
    </w:p>
    <w:p w14:paraId="48BC955F">
      <w:pPr>
        <w:spacing w:line="580" w:lineRule="exact"/>
        <w:ind w:firstLine="640"/>
        <w:jc w:val="both"/>
      </w:pPr>
      <w:r>
        <w:rPr>
          <w:rFonts w:ascii="仿宋_GB2312" w:hAnsi="仿宋_GB2312" w:eastAsia="仿宋_GB2312"/>
          <w:b/>
          <w:sz w:val="32"/>
        </w:rPr>
        <w:t>2024年度财政拨款“三公”经费支出6.64万元，</w:t>
      </w:r>
      <w:r>
        <w:rPr>
          <w:rFonts w:ascii="仿宋_GB2312" w:hAnsi="仿宋_GB2312" w:eastAsia="仿宋_GB2312"/>
          <w:b w:val="0"/>
          <w:sz w:val="32"/>
        </w:rPr>
        <w:t>比上年增加3.20万元，增长93.02%，主要原因是：因业务需求，用车次数增加，导致公务用车维护费有所增加。其中：因公出国（境）费支出0.00万元，占0.00%，比上年增加0.00万元，增长0.00%，主要原因是：2023年与2024年均未安排因公出国（境）费支出。公务用车购置及运行维护费支出6.64万元，占100.00%，比上年增加3.20万元，增长93.02%，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公务用车业务需求，用车次数增加，燃油费及维护费增加，导致公务用车运行维护费较上年增加。公务接待费支出0.00万元，占0.00%，比上年增加0.00万元，增长0.00%，主要原因是：2023年与2024年均未安排公务接待费支出。</w:t>
      </w:r>
    </w:p>
    <w:p w14:paraId="45822BDA">
      <w:pPr>
        <w:spacing w:line="580" w:lineRule="exact"/>
        <w:ind w:firstLine="640"/>
        <w:jc w:val="both"/>
      </w:pPr>
      <w:r>
        <w:rPr>
          <w:rFonts w:ascii="仿宋_GB2312" w:hAnsi="仿宋_GB2312" w:eastAsia="仿宋_GB2312"/>
          <w:b/>
          <w:sz w:val="32"/>
        </w:rPr>
        <w:t>具体情况如下：</w:t>
      </w:r>
    </w:p>
    <w:p w14:paraId="5ED6F100">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67F009BE">
      <w:pPr>
        <w:spacing w:line="580" w:lineRule="exact"/>
        <w:ind w:firstLine="640"/>
        <w:jc w:val="both"/>
      </w:pPr>
      <w:r>
        <w:rPr>
          <w:rFonts w:ascii="仿宋_GB2312" w:hAnsi="仿宋_GB2312" w:eastAsia="仿宋_GB2312"/>
          <w:b w:val="0"/>
          <w:sz w:val="32"/>
        </w:rPr>
        <w:t>公务用车购置及运行维护费6.64万元，其中：公务用车购置费0.00万元，公务用车运行维护费6.64万元。公务用车运行维护费开支内容包括车辆加油费、维修费、保险费、审车费等。公务用车购置数0辆，公务用车保有量8辆。国有资产占用情况中固定资产车辆8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347EBF47">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81ECB9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6.64万元，决算数6.64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6.64万元，决算数6.64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407B478">
      <w:pPr>
        <w:spacing w:line="640" w:lineRule="exact"/>
        <w:ind w:firstLine="640"/>
        <w:jc w:val="both"/>
        <w:outlineLvl w:val="2"/>
      </w:pPr>
      <w:r>
        <w:rPr>
          <w:rFonts w:ascii="黑体" w:hAnsi="黑体" w:eastAsia="黑体"/>
          <w:sz w:val="32"/>
        </w:rPr>
        <w:t>十、其他重要事项的情况说明</w:t>
      </w:r>
    </w:p>
    <w:p w14:paraId="5320C4E3">
      <w:pPr>
        <w:spacing w:line="640" w:lineRule="exact"/>
        <w:ind w:firstLine="640"/>
        <w:jc w:val="both"/>
        <w:outlineLvl w:val="3"/>
      </w:pPr>
      <w:r>
        <w:rPr>
          <w:rFonts w:ascii="楷体_GB2312" w:hAnsi="楷体_GB2312" w:eastAsia="楷体_GB2312"/>
          <w:b/>
          <w:sz w:val="32"/>
        </w:rPr>
        <w:t>（一）机关运行经费及公用经费支出情况</w:t>
      </w:r>
    </w:p>
    <w:p w14:paraId="474223C7">
      <w:pPr>
        <w:spacing w:line="580" w:lineRule="exact"/>
        <w:ind w:firstLine="640"/>
        <w:jc w:val="both"/>
      </w:pPr>
      <w:r>
        <w:rPr>
          <w:rFonts w:ascii="仿宋_GB2312" w:hAnsi="仿宋_GB2312" w:eastAsia="仿宋_GB2312"/>
          <w:b w:val="0"/>
          <w:sz w:val="32"/>
        </w:rPr>
        <w:t>2024年度特克斯县喀拉托海镇人民政府（行政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）机关运行经费支出244.47万元，比上年减少205.41万元，下降45.66%，主要原因是：严格控制公用经费，合理节约办公用品，减少办公经费、劳务费、维修（护）费。</w:t>
      </w:r>
    </w:p>
    <w:p w14:paraId="4CF60F2B">
      <w:pPr>
        <w:spacing w:line="640" w:lineRule="exact"/>
        <w:ind w:firstLine="640"/>
        <w:jc w:val="both"/>
        <w:outlineLvl w:val="3"/>
      </w:pPr>
      <w:r>
        <w:rPr>
          <w:rFonts w:ascii="楷体_GB2312" w:hAnsi="楷体_GB2312" w:eastAsia="楷体_GB2312"/>
          <w:b/>
          <w:sz w:val="32"/>
        </w:rPr>
        <w:t>（二）政府采购情况</w:t>
      </w:r>
    </w:p>
    <w:p w14:paraId="1FCFF394">
      <w:pPr>
        <w:spacing w:line="580" w:lineRule="exact"/>
        <w:ind w:firstLine="640"/>
        <w:jc w:val="both"/>
      </w:pPr>
      <w:r>
        <w:rPr>
          <w:rFonts w:ascii="仿宋_GB2312" w:hAnsi="仿宋_GB2312" w:eastAsia="仿宋_GB2312"/>
          <w:b w:val="0"/>
          <w:sz w:val="32"/>
        </w:rPr>
        <w:t>2024年度政府采购支出总额71.61万元，其中：政府采购货物支出63.11万元、政府采购工程支出0.00万元、政府采购服务支出8.50万元。</w:t>
      </w:r>
    </w:p>
    <w:p w14:paraId="3E79C211">
      <w:pPr>
        <w:spacing w:line="580" w:lineRule="exact"/>
        <w:ind w:firstLine="640"/>
        <w:jc w:val="both"/>
      </w:pPr>
      <w:r>
        <w:rPr>
          <w:rFonts w:ascii="仿宋_GB2312" w:hAnsi="仿宋_GB2312" w:eastAsia="仿宋_GB2312"/>
          <w:b w:val="0"/>
          <w:sz w:val="32"/>
        </w:rPr>
        <w:t>授予中小企业合同金额45.60万元，占政府采购支出总额的63.68%，其中：授予小微企业合同金额45.45万元，占政府采购支出总额的63.47%。</w:t>
      </w:r>
    </w:p>
    <w:p w14:paraId="0711167F">
      <w:pPr>
        <w:spacing w:line="640" w:lineRule="exact"/>
        <w:ind w:firstLine="640"/>
        <w:jc w:val="both"/>
        <w:outlineLvl w:val="3"/>
      </w:pPr>
      <w:r>
        <w:rPr>
          <w:rFonts w:ascii="楷体_GB2312" w:hAnsi="楷体_GB2312" w:eastAsia="楷体_GB2312"/>
          <w:b/>
          <w:sz w:val="32"/>
        </w:rPr>
        <w:t>（三）国有资产占用情况说明</w:t>
      </w:r>
    </w:p>
    <w:p w14:paraId="7C82F6F7">
      <w:pPr>
        <w:spacing w:line="580" w:lineRule="exact"/>
        <w:ind w:firstLine="640"/>
        <w:jc w:val="both"/>
      </w:pPr>
      <w:r>
        <w:rPr>
          <w:rFonts w:ascii="仿宋_GB2312" w:hAnsi="仿宋_GB2312" w:eastAsia="仿宋_GB2312"/>
          <w:b w:val="0"/>
          <w:sz w:val="32"/>
        </w:rPr>
        <w:t>截至2024年12月31日，房屋2,726.53平方米，价值352.20万元。车辆8辆，价值84.65万元，其中：副部（省）级及以上领导用车0辆、主要负责人用车1辆、机要通信用车0辆、应急保障用车0辆、执法执勤用车1辆、特种专业技术用车0辆、离退休干部服务用车0辆、其他用车6辆，其他用车主要是：一般公务用车。单价100万元（含）以上设备（不含车辆）0台（套）。</w:t>
      </w:r>
    </w:p>
    <w:p w14:paraId="290F57D7">
      <w:pPr>
        <w:spacing w:line="640" w:lineRule="exact"/>
        <w:ind w:firstLine="640"/>
        <w:jc w:val="both"/>
        <w:outlineLvl w:val="2"/>
      </w:pPr>
      <w:r>
        <w:rPr>
          <w:rFonts w:ascii="黑体" w:hAnsi="黑体" w:eastAsia="黑体"/>
          <w:sz w:val="32"/>
        </w:rPr>
        <w:t>十一、预算绩效的情况说明</w:t>
      </w:r>
    </w:p>
    <w:p w14:paraId="62753D32">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3,933.09万元，实际执行总额3,933.09万元；预算绩效评价项目4个，全年预算数1,072.41万元，全年执行数1,072.41万元。预算绩效管理取得的成效：一是提高资源配置效率，通过绩效目标引导资金投入，优化资源使用；二是增强决策透明度，促进政府和部门之间的沟通与协作，提高公共服务质量。发现的问题及原因：一是绩效评价指标不够科学，难以全面反映项目成效；二是数据收集与分析不够及时，影响决策依据，导致绩效管理失效。下一步改进措施：一是完善绩效评价体系，建立科学合理的指标体系，确保评价的全面性与准确性；二是加强数据管理和分析能力，提升实时监控与反馈机制，以支持决策优化。具体附整体支出绩效自评表，项目支出绩效自评表和评价报告。</w:t>
      </w:r>
    </w:p>
    <w:p w14:paraId="4716B01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10C4064">
        <w:tblPrEx>
          <w:tblCellMar>
            <w:top w:w="0" w:type="dxa"/>
            <w:left w:w="108" w:type="dxa"/>
            <w:bottom w:w="0" w:type="dxa"/>
            <w:right w:w="108" w:type="dxa"/>
          </w:tblCellMar>
        </w:tblPrEx>
        <w:tc>
          <w:tcPr>
            <w:tcW w:w="8840" w:type="dxa"/>
            <w:gridSpan w:val="8"/>
            <w:vAlign w:val="center"/>
          </w:tcPr>
          <w:p w14:paraId="3C5FDA44">
            <w:pPr>
              <w:jc w:val="center"/>
            </w:pPr>
            <w:r>
              <w:rPr>
                <w:rFonts w:hint="eastAsia" w:ascii="宋体" w:hAnsi="宋体"/>
                <w:sz w:val="24"/>
                <w:lang w:eastAsia="zh-CN"/>
              </w:rPr>
              <w:t>单位</w:t>
            </w:r>
            <w:r>
              <w:rPr>
                <w:rFonts w:ascii="宋体" w:hAnsi="宋体" w:eastAsia="宋体"/>
                <w:sz w:val="24"/>
              </w:rPr>
              <w:t>整体支出绩效自评表</w:t>
            </w:r>
          </w:p>
        </w:tc>
      </w:tr>
      <w:tr w14:paraId="31C4827F">
        <w:tblPrEx>
          <w:tblCellMar>
            <w:top w:w="0" w:type="dxa"/>
            <w:left w:w="108" w:type="dxa"/>
            <w:bottom w:w="0" w:type="dxa"/>
            <w:right w:w="108" w:type="dxa"/>
          </w:tblCellMar>
        </w:tblPrEx>
        <w:tc>
          <w:tcPr>
            <w:tcW w:w="8840" w:type="dxa"/>
            <w:gridSpan w:val="8"/>
            <w:vAlign w:val="center"/>
          </w:tcPr>
          <w:p w14:paraId="1D27141F">
            <w:pPr>
              <w:jc w:val="center"/>
            </w:pPr>
            <w:r>
              <w:rPr>
                <w:rFonts w:ascii="宋体" w:hAnsi="宋体" w:eastAsia="宋体"/>
                <w:sz w:val="24"/>
              </w:rPr>
              <w:t>（2024年度）</w:t>
            </w:r>
          </w:p>
        </w:tc>
      </w:tr>
      <w:tr w14:paraId="295B906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45239">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79572">
            <w:pPr>
              <w:jc w:val="center"/>
            </w:pPr>
            <w:r>
              <w:rPr>
                <w:rFonts w:ascii="宋体" w:hAnsi="宋体" w:eastAsia="宋体"/>
                <w:sz w:val="16"/>
              </w:rPr>
              <w:t>特克斯县喀拉托海镇人民政府</w:t>
            </w:r>
          </w:p>
        </w:tc>
      </w:tr>
      <w:tr w14:paraId="4D858ED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5824E">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BECE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F7F6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00468">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846B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AF67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F685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8791A">
            <w:pPr>
              <w:jc w:val="center"/>
            </w:pPr>
            <w:r>
              <w:rPr>
                <w:rFonts w:ascii="宋体" w:hAnsi="宋体" w:eastAsia="宋体"/>
                <w:sz w:val="16"/>
              </w:rPr>
              <w:t>得分</w:t>
            </w:r>
          </w:p>
        </w:tc>
      </w:tr>
      <w:tr w14:paraId="0FFE6E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F8BAA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1B0D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0731D">
            <w:pPr>
              <w:jc w:val="center"/>
            </w:pPr>
            <w:r>
              <w:rPr>
                <w:rFonts w:ascii="宋体" w:hAnsi="宋体" w:eastAsia="宋体"/>
                <w:sz w:val="16"/>
              </w:rPr>
              <w:t>2,306.83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06EF95">
            <w:pPr>
              <w:jc w:val="center"/>
            </w:pPr>
            <w:r>
              <w:rPr>
                <w:rFonts w:ascii="宋体" w:hAnsi="宋体" w:eastAsia="宋体"/>
                <w:sz w:val="16"/>
              </w:rPr>
              <w:t>3,933.09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8F4DF">
            <w:pPr>
              <w:jc w:val="center"/>
            </w:pPr>
            <w:r>
              <w:rPr>
                <w:rFonts w:ascii="宋体" w:hAnsi="宋体" w:eastAsia="宋体"/>
                <w:sz w:val="16"/>
              </w:rPr>
              <w:t>3,933.09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EE789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D894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11F86">
            <w:pPr>
              <w:jc w:val="center"/>
            </w:pPr>
            <w:r>
              <w:rPr>
                <w:rFonts w:ascii="宋体" w:hAnsi="宋体" w:eastAsia="宋体"/>
                <w:sz w:val="16"/>
              </w:rPr>
              <w:t>10</w:t>
            </w:r>
          </w:p>
        </w:tc>
      </w:tr>
      <w:tr w14:paraId="045DB56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41BCB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8B9C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316EAB">
            <w:pPr>
              <w:jc w:val="center"/>
            </w:pPr>
            <w:r>
              <w:rPr>
                <w:rFonts w:ascii="宋体" w:hAnsi="宋体" w:eastAsia="宋体"/>
                <w:sz w:val="16"/>
              </w:rPr>
              <w:t>138.64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84F44">
            <w:pPr>
              <w:jc w:val="center"/>
            </w:pPr>
            <w:r>
              <w:rPr>
                <w:rFonts w:ascii="宋体" w:hAnsi="宋体" w:eastAsia="宋体"/>
                <w:sz w:val="16"/>
              </w:rPr>
              <w:t>1,385.91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58BCE">
            <w:pPr>
              <w:jc w:val="center"/>
            </w:pPr>
            <w:r>
              <w:rPr>
                <w:rFonts w:ascii="宋体" w:hAnsi="宋体" w:eastAsia="宋体"/>
                <w:sz w:val="16"/>
              </w:rPr>
              <w:t>1,385.91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73949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18D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AF68A">
            <w:pPr>
              <w:jc w:val="center"/>
            </w:pPr>
            <w:r>
              <w:rPr>
                <w:rFonts w:ascii="宋体" w:hAnsi="宋体" w:eastAsia="宋体"/>
                <w:sz w:val="16"/>
              </w:rPr>
              <w:t>-</w:t>
            </w:r>
          </w:p>
        </w:tc>
      </w:tr>
      <w:tr w14:paraId="163B3DA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5B8D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8101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EEB04">
            <w:pPr>
              <w:jc w:val="center"/>
            </w:pPr>
            <w:r>
              <w:rPr>
                <w:rFonts w:ascii="宋体" w:hAnsi="宋体" w:eastAsia="宋体"/>
                <w:sz w:val="16"/>
              </w:rPr>
              <w:t>2,168.19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4F4B2C">
            <w:pPr>
              <w:jc w:val="center"/>
            </w:pPr>
            <w:r>
              <w:rPr>
                <w:rFonts w:ascii="宋体" w:hAnsi="宋体" w:eastAsia="宋体"/>
                <w:sz w:val="16"/>
              </w:rPr>
              <w:t>2,547.18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AABE2">
            <w:pPr>
              <w:jc w:val="center"/>
            </w:pPr>
            <w:r>
              <w:rPr>
                <w:rFonts w:ascii="宋体" w:hAnsi="宋体" w:eastAsia="宋体"/>
                <w:sz w:val="16"/>
              </w:rPr>
              <w:t>2,547.18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D763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D7B1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47E39">
            <w:pPr>
              <w:jc w:val="center"/>
            </w:pPr>
            <w:r>
              <w:rPr>
                <w:rFonts w:ascii="宋体" w:hAnsi="宋体" w:eastAsia="宋体"/>
                <w:sz w:val="16"/>
              </w:rPr>
              <w:t>-</w:t>
            </w:r>
          </w:p>
        </w:tc>
      </w:tr>
      <w:tr w14:paraId="2288142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28690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E1F32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6CD8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EB8E1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5470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ABB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A65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57966">
            <w:pPr>
              <w:jc w:val="center"/>
            </w:pPr>
            <w:r>
              <w:rPr>
                <w:rFonts w:ascii="宋体" w:hAnsi="宋体" w:eastAsia="宋体"/>
                <w:sz w:val="16"/>
              </w:rPr>
              <w:t>-</w:t>
            </w:r>
          </w:p>
        </w:tc>
      </w:tr>
      <w:tr w14:paraId="23EE83E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70E2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33229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774644">
            <w:pPr>
              <w:jc w:val="center"/>
            </w:pPr>
            <w:r>
              <w:rPr>
                <w:rFonts w:ascii="宋体" w:hAnsi="宋体" w:eastAsia="宋体"/>
                <w:sz w:val="16"/>
              </w:rPr>
              <w:t>实际完成情况</w:t>
            </w:r>
          </w:p>
        </w:tc>
      </w:tr>
      <w:tr w14:paraId="57D8260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3ED91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9C3706">
            <w:pPr>
              <w:jc w:val="both"/>
            </w:pPr>
            <w:r>
              <w:rPr>
                <w:rFonts w:ascii="宋体" w:hAnsi="宋体" w:eastAsia="宋体"/>
                <w:sz w:val="16"/>
              </w:rPr>
              <w:t>我镇将紧紧围绕社会稳定和长治久安总目标，全面贯彻党的二十大精神，贯彻落实习近平总书记视察新疆重要讲话重要指示精神，贯彻落实自治区党委十届七次、八次全会精神，贯彻落实县委第十三届委员会第三次全体会议精神和安排部署，持续走“绿色崛起、富民强镇”之路，着力构建农牧民增收长效机制，着力保障和改善民生，全力维护社会稳定保障和改善民生，推进社会各项事业蓬勃发展。强化就业优先政策。突出抓好高校毕业生、退役军人、农村富余劳动力、脱贫群众等重点群体就业，推进就近就地就业和转移就业相结合，健全创业带动和多渠道灵活就业机制。力争2023年实现新增就业2415人次，劳动力转移就业2468人次以上。深入实施教育提升工程。全面贯彻党的教育方针，坚持社会化办学方向。加大义务教育宣传普及力度，建立健全教育帮扶制度，进一步加大困难家庭学生走访帮扶力度。持续推进全民健康工程。持续加大重大传染病、重点地方病的救治力度，持续推进家庭医生签约，92%完成全民免费体检，强化慢性病、癌症、传染病的预防、治疗、控制，做好重点人群健康服务。积极应对人口老龄化国家战略，全面做好“三孩政策”与人口JHSY并轨融合工作。完善全民健身公共服务体系，让群众享有更健康舒适的生活圈。健全社会保障体系。建立信息共享机制，挖掘参保资源，健全</w:t>
            </w:r>
            <w:r>
              <w:rPr>
                <w:rFonts w:hint="eastAsia" w:ascii="宋体" w:hAnsi="宋体"/>
                <w:sz w:val="16"/>
                <w:lang w:eastAsia="zh-CN"/>
              </w:rPr>
              <w:t>多层次社会保障体系</w:t>
            </w:r>
            <w:r>
              <w:rPr>
                <w:rFonts w:ascii="宋体" w:hAnsi="宋体" w:eastAsia="宋体"/>
                <w:sz w:val="16"/>
              </w:rPr>
              <w:t>。推进全民参保计划，力争各险种参保率达100%；统筹社会救助信息、需求、资源，扎实做好低保动态调整；建立特困群体动态救助机制，加大社会救助力度，充分发挥“救助+社会组织+慈善”三位一体作用，统筹推进社会福利事业建设。做好新形势下“双拥”工作，解决现役、退役军人和优抚对象的现实问题。深入实施安居保障工程</w:t>
            </w:r>
            <w:r>
              <w:rPr>
                <w:rFonts w:hint="eastAsia" w:ascii="宋体" w:hAnsi="宋体"/>
                <w:sz w:val="16"/>
                <w:lang w:eastAsia="zh-CN"/>
              </w:rPr>
              <w:t>。</w:t>
            </w:r>
            <w:r>
              <w:rPr>
                <w:rFonts w:ascii="宋体" w:hAnsi="宋体" w:eastAsia="宋体"/>
                <w:sz w:val="16"/>
              </w:rPr>
              <w:t>以改善群众住房条件为出发点和落脚点，合理界定改造范围，力争完成上级下发改造任务，办理不动产证1589户，更</w:t>
            </w:r>
            <w:r>
              <w:rPr>
                <w:rFonts w:hint="eastAsia" w:ascii="宋体" w:hAnsi="宋体"/>
                <w:sz w:val="16"/>
                <w:lang w:eastAsia="zh-CN"/>
              </w:rPr>
              <w:t>好地</w:t>
            </w:r>
            <w:r>
              <w:rPr>
                <w:rFonts w:ascii="宋体" w:hAnsi="宋体" w:eastAsia="宋体"/>
                <w:sz w:val="16"/>
              </w:rPr>
              <w:t>满足群众的住房需求。动物防疫方面。有序开展秋季重大动物疫病防控工作和加大对秋季重大动物疫病防控工作开展情况督查力度，加大督查验收工作做到“六不漏”保证密度100%免疫抗体效价75%以上集中办理《动物防疫条件合格证》，抓好畜禽产地检疫工作，有序开展绵羊药浴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BA1252">
            <w:pPr>
              <w:jc w:val="both"/>
            </w:pPr>
            <w:r>
              <w:rPr>
                <w:rFonts w:ascii="宋体" w:hAnsi="宋体" w:eastAsia="宋体"/>
                <w:sz w:val="16"/>
              </w:rPr>
              <w:t>强化就业优先政策。突出抓好高校毕业生、退役军人、农村富余劳动力、脱贫群众等重点群体就业，推进就近就地就业和转移就业相结合，健全创业带动和多渠道灵活就业机制。劳动力转移就业完成2470人次。深入实施教育提升工程。全面贯彻党的教育方针，坚持社会化办学方向。加大义务教育宣传普及力度，建立健全教育帮扶制度，进一步加大困难家庭学生走访帮扶力度。持续推进全民健康工程。持续加大重大传染病、重点地方病的救治力度，持续推进家庭医生签约，已100%完成全民免费体检。推进全民参保计划，各险种参保</w:t>
            </w:r>
            <w:r>
              <w:rPr>
                <w:rFonts w:hint="eastAsia" w:ascii="宋体" w:hAnsi="宋体"/>
                <w:sz w:val="16"/>
                <w:lang w:eastAsia="zh-CN"/>
              </w:rPr>
              <w:t>率</w:t>
            </w:r>
            <w:r>
              <w:rPr>
                <w:rFonts w:ascii="宋体" w:hAnsi="宋体" w:eastAsia="宋体"/>
                <w:sz w:val="16"/>
              </w:rPr>
              <w:t>已达到100%；深入实施安居保障工程。以改善群众住房条件为出发点和落脚点，合理界定改造范围，力争完成上级下发改造任务，已完成办理不动产证1589户，满足了群众的住房需求。动物防疫方面。有序开展秋季重大动物疫病防控工作和加大对秋季重大动物疫病防控工作开展情况督查力度，加大督查验收工作做到“六不漏”保证密度100%免疫抗体效价率达到90.25%，集中办理《动物防疫条件合格证》，抓好畜禽产地检疫工作，有序开展绵羊药浴工作。</w:t>
            </w:r>
          </w:p>
        </w:tc>
      </w:tr>
      <w:tr w14:paraId="77B65C4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77387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5C52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62D9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260A6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538E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8461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6D632">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4E547">
            <w:pPr>
              <w:jc w:val="center"/>
            </w:pPr>
            <w:r>
              <w:rPr>
                <w:rFonts w:ascii="宋体" w:hAnsi="宋体" w:eastAsia="宋体"/>
                <w:sz w:val="16"/>
              </w:rPr>
              <w:t>得分</w:t>
            </w:r>
          </w:p>
        </w:tc>
      </w:tr>
      <w:tr w14:paraId="720CDD6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7C67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53B6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D809A">
            <w:pPr>
              <w:jc w:val="center"/>
            </w:pPr>
            <w:r>
              <w:rPr>
                <w:rFonts w:ascii="宋体" w:hAnsi="宋体" w:eastAsia="宋体"/>
                <w:sz w:val="16"/>
              </w:rPr>
              <w:t>农村富余劳动力转移就业人数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479B4">
            <w:pPr>
              <w:jc w:val="center"/>
            </w:pPr>
            <w:r>
              <w:rPr>
                <w:rFonts w:ascii="宋体" w:hAnsi="宋体" w:eastAsia="宋体"/>
                <w:sz w:val="16"/>
              </w:rPr>
              <w:t>&gt;=2468人次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C08E11">
            <w:pPr>
              <w:jc w:val="center"/>
            </w:pPr>
            <w:r>
              <w:rPr>
                <w:rFonts w:ascii="宋体" w:hAnsi="宋体" w:eastAsia="宋体"/>
                <w:sz w:val="16"/>
              </w:rPr>
              <w:t>喀拉托海镇人民政府工作报告（草案）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B667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FCA639">
            <w:pPr>
              <w:jc w:val="center"/>
            </w:pPr>
            <w:r>
              <w:rPr>
                <w:rFonts w:ascii="宋体" w:hAnsi="宋体" w:eastAsia="宋体"/>
                <w:sz w:val="16"/>
              </w:rPr>
              <w:t>2470人次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34A81">
            <w:pPr>
              <w:jc w:val="center"/>
            </w:pPr>
            <w:r>
              <w:rPr>
                <w:rFonts w:ascii="宋体" w:hAnsi="宋体" w:eastAsia="宋体"/>
                <w:sz w:val="16"/>
              </w:rPr>
              <w:t>20</w:t>
            </w:r>
          </w:p>
        </w:tc>
      </w:tr>
      <w:tr w14:paraId="437BDE5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BDA97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66A2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33BE0">
            <w:pPr>
              <w:jc w:val="center"/>
            </w:pPr>
            <w:r>
              <w:rPr>
                <w:rFonts w:ascii="宋体" w:hAnsi="宋体" w:eastAsia="宋体"/>
                <w:sz w:val="16"/>
              </w:rPr>
              <w:t>完成全民免费体检率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54801">
            <w:pPr>
              <w:jc w:val="center"/>
            </w:pPr>
            <w:r>
              <w:rPr>
                <w:rFonts w:ascii="宋体" w:hAnsi="宋体" w:eastAsia="宋体"/>
                <w:sz w:val="16"/>
              </w:rPr>
              <w:t>&gt;=92%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E44E3">
            <w:pPr>
              <w:jc w:val="center"/>
            </w:pPr>
            <w:r>
              <w:rPr>
                <w:rFonts w:ascii="宋体" w:hAnsi="宋体" w:eastAsia="宋体"/>
                <w:sz w:val="16"/>
              </w:rPr>
              <w:t>喀拉托海镇人民政府工作报告（草案）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353D3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8811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CFA545">
            <w:pPr>
              <w:jc w:val="center"/>
            </w:pPr>
            <w:r>
              <w:rPr>
                <w:rFonts w:ascii="宋体" w:hAnsi="宋体" w:eastAsia="宋体"/>
                <w:sz w:val="16"/>
              </w:rPr>
              <w:t>20</w:t>
            </w:r>
          </w:p>
        </w:tc>
      </w:tr>
      <w:tr w14:paraId="62656C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09C6B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EC30E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0F1D4">
            <w:pPr>
              <w:jc w:val="center"/>
            </w:pPr>
            <w:r>
              <w:rPr>
                <w:rFonts w:ascii="宋体" w:hAnsi="宋体" w:eastAsia="宋体"/>
                <w:sz w:val="16"/>
              </w:rPr>
              <w:t>办理不动产证户数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7BF1C8">
            <w:pPr>
              <w:jc w:val="center"/>
            </w:pPr>
            <w:r>
              <w:rPr>
                <w:rFonts w:ascii="宋体" w:hAnsi="宋体" w:eastAsia="宋体"/>
                <w:sz w:val="16"/>
              </w:rPr>
              <w:t>&gt;=1589户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AEDF17">
            <w:pPr>
              <w:jc w:val="center"/>
            </w:pPr>
            <w:r>
              <w:rPr>
                <w:rFonts w:ascii="宋体" w:hAnsi="宋体" w:eastAsia="宋体"/>
                <w:sz w:val="16"/>
              </w:rPr>
              <w:t>喀拉托海镇人民政府工作报告（草案）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CFCE2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D3A9B">
            <w:pPr>
              <w:jc w:val="center"/>
            </w:pPr>
            <w:r>
              <w:rPr>
                <w:rFonts w:ascii="宋体" w:hAnsi="宋体" w:eastAsia="宋体"/>
                <w:sz w:val="16"/>
              </w:rPr>
              <w:t>1598户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D702D">
            <w:pPr>
              <w:jc w:val="center"/>
            </w:pPr>
            <w:r>
              <w:rPr>
                <w:rFonts w:ascii="宋体" w:hAnsi="宋体" w:eastAsia="宋体"/>
                <w:sz w:val="16"/>
              </w:rPr>
              <w:t>20</w:t>
            </w:r>
          </w:p>
        </w:tc>
      </w:tr>
      <w:tr w14:paraId="2884F08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C05934"/>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B2825">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FF818">
            <w:pPr>
              <w:jc w:val="center"/>
            </w:pPr>
            <w:r>
              <w:rPr>
                <w:rFonts w:ascii="宋体" w:hAnsi="宋体" w:eastAsia="宋体"/>
                <w:sz w:val="16"/>
              </w:rPr>
              <w:t>养老医疗保险参保率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8E47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A4290">
            <w:pPr>
              <w:jc w:val="center"/>
            </w:pPr>
            <w:r>
              <w:rPr>
                <w:rFonts w:ascii="宋体" w:hAnsi="宋体" w:eastAsia="宋体"/>
                <w:sz w:val="16"/>
              </w:rPr>
              <w:t>喀拉托海镇人民政府工作报告（草案）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24CC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CB02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ECCBE">
            <w:pPr>
              <w:jc w:val="center"/>
            </w:pPr>
            <w:r>
              <w:rPr>
                <w:rFonts w:ascii="宋体" w:hAnsi="宋体" w:eastAsia="宋体"/>
                <w:sz w:val="16"/>
              </w:rPr>
              <w:t>20</w:t>
            </w:r>
          </w:p>
        </w:tc>
      </w:tr>
      <w:tr w14:paraId="775EE6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02194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D640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85DDB8">
            <w:pPr>
              <w:jc w:val="center"/>
            </w:pPr>
            <w:r>
              <w:rPr>
                <w:rFonts w:ascii="宋体" w:hAnsi="宋体" w:eastAsia="宋体"/>
                <w:sz w:val="16"/>
              </w:rPr>
              <w:t>动物免疫抗体效价率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468AB">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6CC28">
            <w:pPr>
              <w:jc w:val="center"/>
            </w:pPr>
            <w:r>
              <w:rPr>
                <w:rFonts w:ascii="宋体" w:hAnsi="宋体" w:eastAsia="宋体"/>
                <w:sz w:val="16"/>
              </w:rPr>
              <w:t>喀拉托海镇人民政府工作报告（草案）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9314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B8C97">
            <w:pPr>
              <w:jc w:val="center"/>
            </w:pPr>
            <w:r>
              <w:rPr>
                <w:rFonts w:ascii="宋体" w:hAnsi="宋体" w:eastAsia="宋体"/>
                <w:sz w:val="16"/>
              </w:rPr>
              <w:t>90.25%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92A2B">
            <w:pPr>
              <w:jc w:val="center"/>
            </w:pPr>
            <w:r>
              <w:rPr>
                <w:rFonts w:ascii="宋体" w:hAnsi="宋体" w:eastAsia="宋体"/>
                <w:sz w:val="16"/>
              </w:rPr>
              <w:t>10</w:t>
            </w:r>
          </w:p>
        </w:tc>
      </w:tr>
    </w:tbl>
    <w:p w14:paraId="6F318E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35E23720">
        <w:tblPrEx>
          <w:tblCellMar>
            <w:top w:w="0" w:type="dxa"/>
            <w:left w:w="108" w:type="dxa"/>
            <w:bottom w:w="0" w:type="dxa"/>
            <w:right w:w="108" w:type="dxa"/>
          </w:tblCellMar>
        </w:tblPrEx>
        <w:tc>
          <w:tcPr>
            <w:tcW w:w="8848" w:type="dxa"/>
            <w:gridSpan w:val="14"/>
            <w:vAlign w:val="center"/>
          </w:tcPr>
          <w:p w14:paraId="05FF2143">
            <w:pPr>
              <w:jc w:val="center"/>
            </w:pPr>
            <w:r>
              <w:rPr>
                <w:rFonts w:ascii="宋体" w:hAnsi="宋体" w:eastAsia="宋体"/>
                <w:sz w:val="24"/>
              </w:rPr>
              <w:t>项目支出绩效自评表</w:t>
            </w:r>
          </w:p>
        </w:tc>
      </w:tr>
      <w:tr w14:paraId="388705B0">
        <w:tblPrEx>
          <w:tblCellMar>
            <w:top w:w="0" w:type="dxa"/>
            <w:left w:w="108" w:type="dxa"/>
            <w:bottom w:w="0" w:type="dxa"/>
            <w:right w:w="108" w:type="dxa"/>
          </w:tblCellMar>
        </w:tblPrEx>
        <w:tc>
          <w:tcPr>
            <w:tcW w:w="8848" w:type="dxa"/>
            <w:gridSpan w:val="14"/>
            <w:vAlign w:val="center"/>
          </w:tcPr>
          <w:p w14:paraId="2A9F19FE">
            <w:pPr>
              <w:jc w:val="center"/>
            </w:pPr>
            <w:r>
              <w:rPr>
                <w:rFonts w:ascii="宋体" w:hAnsi="宋体" w:eastAsia="宋体"/>
                <w:sz w:val="24"/>
              </w:rPr>
              <w:t>(2024年度)</w:t>
            </w:r>
          </w:p>
        </w:tc>
      </w:tr>
      <w:tr w14:paraId="0E8018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B7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890E05">
            <w:pPr>
              <w:jc w:val="center"/>
            </w:pPr>
            <w:r>
              <w:rPr>
                <w:rFonts w:ascii="宋体" w:hAnsi="宋体" w:eastAsia="宋体"/>
                <w:sz w:val="16"/>
              </w:rPr>
              <w:t>S329线阿尕尔森乡至特克斯县公路建设项目征地安置补偿金</w:t>
            </w:r>
          </w:p>
        </w:tc>
      </w:tr>
      <w:tr w14:paraId="74FD8B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D0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DD03D0">
            <w:pPr>
              <w:jc w:val="center"/>
            </w:pPr>
            <w:r>
              <w:rPr>
                <w:rFonts w:ascii="宋体" w:hAnsi="宋体" w:eastAsia="宋体"/>
                <w:sz w:val="16"/>
              </w:rPr>
              <w:t>特克斯县喀拉托海镇人民政府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83C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E7352">
            <w:pPr>
              <w:jc w:val="center"/>
            </w:pPr>
            <w:r>
              <w:rPr>
                <w:rFonts w:ascii="宋体" w:hAnsi="宋体" w:eastAsia="宋体"/>
                <w:sz w:val="16"/>
              </w:rPr>
              <w:t>特克斯县喀拉托海镇人民政府</w:t>
            </w:r>
          </w:p>
        </w:tc>
      </w:tr>
      <w:tr w14:paraId="1E0BC2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B6C6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32B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400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C51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580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6D8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FE9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FB20">
            <w:pPr>
              <w:jc w:val="center"/>
            </w:pPr>
            <w:r>
              <w:rPr>
                <w:rFonts w:ascii="宋体" w:hAnsi="宋体" w:eastAsia="宋体"/>
                <w:sz w:val="16"/>
              </w:rPr>
              <w:t>得分</w:t>
            </w:r>
          </w:p>
        </w:tc>
      </w:tr>
      <w:tr w14:paraId="645C9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D32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4AE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13C75">
            <w:pPr>
              <w:jc w:val="center"/>
            </w:pPr>
            <w:r>
              <w:rPr>
                <w:rFonts w:ascii="宋体" w:hAnsi="宋体" w:eastAsia="宋体"/>
                <w:sz w:val="16"/>
              </w:rPr>
              <w:t>75.41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61FF5">
            <w:pPr>
              <w:jc w:val="center"/>
            </w:pPr>
            <w:r>
              <w:rPr>
                <w:rFonts w:ascii="宋体" w:hAnsi="宋体" w:eastAsia="宋体"/>
                <w:sz w:val="16"/>
              </w:rPr>
              <w:t>75.41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4E8EB">
            <w:pPr>
              <w:jc w:val="center"/>
            </w:pPr>
            <w:r>
              <w:rPr>
                <w:rFonts w:ascii="宋体" w:hAnsi="宋体" w:eastAsia="宋体"/>
                <w:sz w:val="16"/>
              </w:rPr>
              <w:t>75.41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3C4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E90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2843">
            <w:pPr>
              <w:jc w:val="center"/>
            </w:pPr>
            <w:r>
              <w:rPr>
                <w:rFonts w:ascii="宋体" w:hAnsi="宋体" w:eastAsia="宋体"/>
                <w:sz w:val="16"/>
              </w:rPr>
              <w:t>10.00</w:t>
            </w:r>
          </w:p>
        </w:tc>
      </w:tr>
      <w:tr w14:paraId="0B84D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E9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416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CD812">
            <w:pPr>
              <w:jc w:val="center"/>
            </w:pPr>
            <w:r>
              <w:rPr>
                <w:rFonts w:ascii="宋体" w:hAnsi="宋体" w:eastAsia="宋体"/>
                <w:sz w:val="16"/>
              </w:rPr>
              <w:t>75.41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CE39F">
            <w:pPr>
              <w:jc w:val="center"/>
            </w:pPr>
            <w:r>
              <w:rPr>
                <w:rFonts w:ascii="宋体" w:hAnsi="宋体" w:eastAsia="宋体"/>
                <w:sz w:val="16"/>
              </w:rPr>
              <w:t>75.41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4C8A">
            <w:pPr>
              <w:jc w:val="center"/>
            </w:pPr>
            <w:r>
              <w:rPr>
                <w:rFonts w:ascii="宋体" w:hAnsi="宋体" w:eastAsia="宋体"/>
                <w:sz w:val="16"/>
              </w:rPr>
              <w:t>75.41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C29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055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A348">
            <w:pPr>
              <w:jc w:val="center"/>
            </w:pPr>
            <w:r>
              <w:rPr>
                <w:rFonts w:ascii="宋体" w:hAnsi="宋体" w:eastAsia="宋体"/>
                <w:sz w:val="16"/>
              </w:rPr>
              <w:t>—</w:t>
            </w:r>
          </w:p>
        </w:tc>
      </w:tr>
      <w:tr w14:paraId="59405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441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74C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3BE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98D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814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F8F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86C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48E0">
            <w:pPr>
              <w:jc w:val="center"/>
            </w:pPr>
            <w:r>
              <w:rPr>
                <w:rFonts w:ascii="宋体" w:hAnsi="宋体" w:eastAsia="宋体"/>
                <w:sz w:val="16"/>
              </w:rPr>
              <w:t>—</w:t>
            </w:r>
          </w:p>
        </w:tc>
      </w:tr>
      <w:tr w14:paraId="13239D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F284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5D72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3BFE63">
            <w:pPr>
              <w:jc w:val="center"/>
            </w:pPr>
            <w:r>
              <w:rPr>
                <w:rFonts w:ascii="宋体" w:hAnsi="宋体" w:eastAsia="宋体"/>
                <w:sz w:val="16"/>
              </w:rPr>
              <w:t>实际完成情况</w:t>
            </w:r>
          </w:p>
        </w:tc>
      </w:tr>
      <w:tr w14:paraId="5C501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62B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4DC66B">
            <w:pPr>
              <w:jc w:val="both"/>
            </w:pPr>
            <w:r>
              <w:rPr>
                <w:rFonts w:ascii="宋体" w:hAnsi="宋体" w:eastAsia="宋体"/>
                <w:sz w:val="16"/>
              </w:rPr>
              <w:t>确保S329 线巩留县阿尕尔森乡至特克斯县公路项目顺利实施，对王高升、吕荣、刘明胜3户涉及土地进行征收，共补偿75.41万元，其中：吕荣29.670932万元，刘明胜37.611124万元，王高升8.12488万元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5A89DB">
            <w:pPr>
              <w:jc w:val="both"/>
            </w:pPr>
            <w:r>
              <w:rPr>
                <w:rFonts w:ascii="宋体" w:hAnsi="宋体" w:eastAsia="宋体"/>
                <w:sz w:val="16"/>
              </w:rPr>
              <w:t>完成对王高升、吕荣、刘明胜3户涉及土地进行征收，共支付补偿款75.41万元，其中：吕荣29.670932万元，刘明胜37.611124万元，王高升8.12488万元，确保了S329 线巩留县阿尕尔森乡至特克斯县公路项目顺利实施。</w:t>
            </w:r>
          </w:p>
        </w:tc>
      </w:tr>
      <w:tr w14:paraId="7674F1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562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53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81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C0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03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D6D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2BA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31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DB8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A3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A8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56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44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DB20">
            <w:pPr>
              <w:jc w:val="center"/>
            </w:pPr>
            <w:r>
              <w:rPr>
                <w:rFonts w:ascii="宋体" w:hAnsi="宋体" w:eastAsia="宋体"/>
                <w:sz w:val="16"/>
              </w:rPr>
              <w:t>偏差原因分析及改进措施</w:t>
            </w:r>
          </w:p>
        </w:tc>
      </w:tr>
      <w:tr w14:paraId="0E322C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D80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717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35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7B97">
            <w:pPr>
              <w:jc w:val="center"/>
            </w:pPr>
            <w:r>
              <w:rPr>
                <w:rFonts w:ascii="宋体" w:hAnsi="宋体" w:eastAsia="宋体"/>
                <w:sz w:val="16"/>
              </w:rPr>
              <w:t>征地补偿户数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C98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240C">
            <w:pPr>
              <w:jc w:val="center"/>
            </w:pPr>
            <w:r>
              <w:rPr>
                <w:rFonts w:ascii="宋体" w:hAnsi="宋体" w:eastAsia="宋体"/>
                <w:sz w:val="16"/>
              </w:rPr>
              <w: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258B">
            <w:pPr>
              <w:jc w:val="center"/>
            </w:pPr>
            <w:r>
              <w:rPr>
                <w:rFonts w:ascii="宋体" w:hAnsi="宋体" w:eastAsia="宋体"/>
                <w:sz w:val="16"/>
              </w:rPr>
              <w:t>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D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3DF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3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16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B0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DF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18FD">
            <w:pPr>
              <w:jc w:val="center"/>
            </w:pPr>
          </w:p>
        </w:tc>
      </w:tr>
      <w:tr w14:paraId="5F636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7B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11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89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824C">
            <w:pPr>
              <w:jc w:val="center"/>
            </w:pPr>
            <w:r>
              <w:rPr>
                <w:rFonts w:ascii="宋体" w:hAnsi="宋体" w:eastAsia="宋体"/>
                <w:sz w:val="16"/>
              </w:rPr>
              <w:t>征地补偿金发放准确率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3AD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A3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9E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B8A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F49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B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0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A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BA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CDC7">
            <w:pPr>
              <w:jc w:val="center"/>
            </w:pPr>
            <w:r>
              <w:rPr>
                <w:rFonts w:ascii="宋体" w:hAnsi="宋体" w:eastAsia="宋体"/>
                <w:sz w:val="16"/>
              </w:rPr>
              <w:t>年初制定绩效目标时预期值设置偏低</w:t>
            </w:r>
          </w:p>
        </w:tc>
      </w:tr>
      <w:tr w14:paraId="7FB25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14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9C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87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BC3B">
            <w:pPr>
              <w:jc w:val="center"/>
            </w:pPr>
            <w:r>
              <w:rPr>
                <w:rFonts w:ascii="宋体" w:hAnsi="宋体" w:eastAsia="宋体"/>
                <w:sz w:val="16"/>
              </w:rPr>
              <w:t>征地补偿金发放及时性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12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E9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7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9EC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4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6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73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A5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BA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D4AD">
            <w:pPr>
              <w:jc w:val="center"/>
            </w:pPr>
            <w:r>
              <w:rPr>
                <w:rFonts w:ascii="宋体" w:hAnsi="宋体" w:eastAsia="宋体"/>
                <w:sz w:val="16"/>
              </w:rPr>
              <w:t>年初制定绩效目标时期望值设置偏低</w:t>
            </w:r>
          </w:p>
        </w:tc>
      </w:tr>
      <w:tr w14:paraId="3CDCD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12A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E0C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D1F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067D">
            <w:pPr>
              <w:jc w:val="center"/>
            </w:pPr>
            <w:r>
              <w:rPr>
                <w:rFonts w:ascii="宋体" w:hAnsi="宋体" w:eastAsia="宋体"/>
                <w:sz w:val="16"/>
              </w:rPr>
              <w:t>吕荣补偿金数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37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C6C6">
            <w:pPr>
              <w:jc w:val="center"/>
            </w:pPr>
            <w:r>
              <w:rPr>
                <w:rFonts w:ascii="宋体" w:hAnsi="宋体" w:eastAsia="宋体"/>
                <w:sz w:val="16"/>
              </w:rPr>
              <w:t>&lt;=29.67万元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43C8">
            <w:pPr>
              <w:jc w:val="center"/>
            </w:pPr>
            <w:r>
              <w:rPr>
                <w:rFonts w:ascii="宋体" w:hAnsi="宋体" w:eastAsia="宋体"/>
                <w:sz w:val="16"/>
              </w:rPr>
              <w:t>29.67万元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7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66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B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04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F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3F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A83C">
            <w:pPr>
              <w:jc w:val="center"/>
            </w:pPr>
          </w:p>
        </w:tc>
      </w:tr>
      <w:tr w14:paraId="02018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A0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B8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B6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3B3E">
            <w:pPr>
              <w:jc w:val="center"/>
            </w:pPr>
            <w:r>
              <w:rPr>
                <w:rFonts w:ascii="宋体" w:hAnsi="宋体" w:eastAsia="宋体"/>
                <w:sz w:val="16"/>
              </w:rPr>
              <w:t>刘明胜补偿金数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1B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2659">
            <w:pPr>
              <w:jc w:val="center"/>
            </w:pPr>
            <w:r>
              <w:rPr>
                <w:rFonts w:ascii="宋体" w:hAnsi="宋体" w:eastAsia="宋体"/>
                <w:sz w:val="16"/>
              </w:rPr>
              <w:t>&lt;=37.61万元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A48E">
            <w:pPr>
              <w:jc w:val="center"/>
            </w:pPr>
            <w:r>
              <w:rPr>
                <w:rFonts w:ascii="宋体" w:hAnsi="宋体" w:eastAsia="宋体"/>
                <w:sz w:val="16"/>
              </w:rPr>
              <w:t>37.61万元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3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54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5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2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B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1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B60C">
            <w:pPr>
              <w:jc w:val="center"/>
            </w:pPr>
          </w:p>
        </w:tc>
      </w:tr>
      <w:tr w14:paraId="6C0FE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130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99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86B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2AA3">
            <w:pPr>
              <w:jc w:val="center"/>
            </w:pPr>
            <w:r>
              <w:rPr>
                <w:rFonts w:ascii="宋体" w:hAnsi="宋体" w:eastAsia="宋体"/>
                <w:sz w:val="16"/>
              </w:rPr>
              <w:t>王高升补偿金数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9D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D7CC">
            <w:pPr>
              <w:jc w:val="center"/>
            </w:pPr>
            <w:r>
              <w:rPr>
                <w:rFonts w:ascii="宋体" w:hAnsi="宋体" w:eastAsia="宋体"/>
                <w:sz w:val="16"/>
              </w:rPr>
              <w:t>&lt;=8.12万元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922D">
            <w:pPr>
              <w:jc w:val="center"/>
            </w:pPr>
            <w:r>
              <w:rPr>
                <w:rFonts w:ascii="宋体" w:hAnsi="宋体" w:eastAsia="宋体"/>
                <w:sz w:val="16"/>
              </w:rPr>
              <w:t>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C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51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95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2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96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3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4BB5">
            <w:pPr>
              <w:jc w:val="center"/>
            </w:pPr>
          </w:p>
        </w:tc>
      </w:tr>
      <w:tr w14:paraId="11133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BF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C4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0C6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A60F">
            <w:pPr>
              <w:jc w:val="center"/>
            </w:pPr>
            <w:r>
              <w:rPr>
                <w:rFonts w:ascii="宋体" w:hAnsi="宋体" w:eastAsia="宋体"/>
                <w:sz w:val="16"/>
              </w:rPr>
              <w:t>通过征地补偿金增收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26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A44E">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40BD">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C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0C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7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3C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EF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1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6008">
            <w:pPr>
              <w:jc w:val="center"/>
            </w:pPr>
          </w:p>
        </w:tc>
      </w:tr>
      <w:tr w14:paraId="7E199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8A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33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2C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3CA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63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C2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F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F99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5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2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A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22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DD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8524">
            <w:pPr>
              <w:jc w:val="center"/>
            </w:pPr>
            <w:r>
              <w:rPr>
                <w:rFonts w:ascii="宋体" w:hAnsi="宋体" w:eastAsia="宋体"/>
                <w:sz w:val="16"/>
              </w:rPr>
              <w:t>年初制定绩效目标时预期值设置偏低</w:t>
            </w:r>
          </w:p>
        </w:tc>
      </w:tr>
      <w:tr w14:paraId="1EAD62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1E0C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B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E51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9E1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C99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18F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830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522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FE3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2DA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59798"/>
        </w:tc>
      </w:tr>
    </w:tbl>
    <w:p w14:paraId="321916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96694F4">
        <w:tblPrEx>
          <w:tblCellMar>
            <w:top w:w="0" w:type="dxa"/>
            <w:left w:w="108" w:type="dxa"/>
            <w:bottom w:w="0" w:type="dxa"/>
            <w:right w:w="108" w:type="dxa"/>
          </w:tblCellMar>
        </w:tblPrEx>
        <w:tc>
          <w:tcPr>
            <w:tcW w:w="8848" w:type="dxa"/>
            <w:gridSpan w:val="14"/>
            <w:vAlign w:val="center"/>
          </w:tcPr>
          <w:p w14:paraId="5BD22214">
            <w:pPr>
              <w:jc w:val="center"/>
            </w:pPr>
            <w:r>
              <w:rPr>
                <w:rFonts w:ascii="宋体" w:hAnsi="宋体" w:eastAsia="宋体"/>
                <w:sz w:val="24"/>
              </w:rPr>
              <w:t>项目支出绩效自评表</w:t>
            </w:r>
          </w:p>
        </w:tc>
      </w:tr>
      <w:tr w14:paraId="1730ADF0">
        <w:tblPrEx>
          <w:tblCellMar>
            <w:top w:w="0" w:type="dxa"/>
            <w:left w:w="108" w:type="dxa"/>
            <w:bottom w:w="0" w:type="dxa"/>
            <w:right w:w="108" w:type="dxa"/>
          </w:tblCellMar>
        </w:tblPrEx>
        <w:tc>
          <w:tcPr>
            <w:tcW w:w="8848" w:type="dxa"/>
            <w:gridSpan w:val="14"/>
            <w:vAlign w:val="center"/>
          </w:tcPr>
          <w:p w14:paraId="218DBE0F">
            <w:pPr>
              <w:jc w:val="center"/>
            </w:pPr>
            <w:r>
              <w:rPr>
                <w:rFonts w:ascii="宋体" w:hAnsi="宋体" w:eastAsia="宋体"/>
                <w:sz w:val="24"/>
              </w:rPr>
              <w:t>(2024年度)</w:t>
            </w:r>
          </w:p>
        </w:tc>
      </w:tr>
      <w:tr w14:paraId="04C523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A8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9386D2">
            <w:pPr>
              <w:jc w:val="center"/>
            </w:pPr>
            <w:r>
              <w:rPr>
                <w:rFonts w:ascii="宋体" w:hAnsi="宋体" w:eastAsia="宋体"/>
                <w:sz w:val="16"/>
              </w:rPr>
              <w:t>伊州财农</w:t>
            </w:r>
            <w:r>
              <w:rPr>
                <w:rFonts w:hint="eastAsia" w:ascii="宋体" w:hAnsi="宋体"/>
                <w:sz w:val="16"/>
                <w:lang w:eastAsia="zh-CN"/>
              </w:rPr>
              <w:t>〔2023〕49号</w:t>
            </w:r>
            <w:r>
              <w:rPr>
                <w:rFonts w:ascii="宋体" w:hAnsi="宋体" w:eastAsia="宋体"/>
                <w:sz w:val="16"/>
              </w:rPr>
              <w:t>中央农村综合改革项目</w:t>
            </w:r>
          </w:p>
        </w:tc>
      </w:tr>
      <w:tr w14:paraId="0384A8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5D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9F684D">
            <w:pPr>
              <w:jc w:val="center"/>
            </w:pPr>
            <w:r>
              <w:rPr>
                <w:rFonts w:ascii="宋体" w:hAnsi="宋体" w:eastAsia="宋体"/>
                <w:sz w:val="16"/>
              </w:rPr>
              <w:t>特克斯县喀拉托海镇人民政府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BED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9D473D">
            <w:pPr>
              <w:jc w:val="center"/>
            </w:pPr>
            <w:r>
              <w:rPr>
                <w:rFonts w:ascii="宋体" w:hAnsi="宋体" w:eastAsia="宋体"/>
                <w:sz w:val="16"/>
              </w:rPr>
              <w:t>特克斯县喀拉托海镇人民政府</w:t>
            </w:r>
          </w:p>
        </w:tc>
      </w:tr>
      <w:tr w14:paraId="1D1C5F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1C6C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712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512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860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8CD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82F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5E4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B5A1">
            <w:pPr>
              <w:jc w:val="center"/>
            </w:pPr>
            <w:r>
              <w:rPr>
                <w:rFonts w:ascii="宋体" w:hAnsi="宋体" w:eastAsia="宋体"/>
                <w:sz w:val="16"/>
              </w:rPr>
              <w:t>得分</w:t>
            </w:r>
          </w:p>
        </w:tc>
      </w:tr>
      <w:tr w14:paraId="421E0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976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48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550D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D67B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2B8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54B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4147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A31F">
            <w:pPr>
              <w:jc w:val="center"/>
            </w:pPr>
            <w:r>
              <w:rPr>
                <w:rFonts w:ascii="宋体" w:hAnsi="宋体" w:eastAsia="宋体"/>
                <w:sz w:val="16"/>
              </w:rPr>
              <w:t>10.00</w:t>
            </w:r>
          </w:p>
        </w:tc>
      </w:tr>
      <w:tr w14:paraId="699C2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27A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CC7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B089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0F93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C7A0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D2C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D9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94D6">
            <w:pPr>
              <w:jc w:val="center"/>
            </w:pPr>
            <w:r>
              <w:rPr>
                <w:rFonts w:ascii="宋体" w:hAnsi="宋体" w:eastAsia="宋体"/>
                <w:sz w:val="16"/>
              </w:rPr>
              <w:t>—</w:t>
            </w:r>
          </w:p>
        </w:tc>
      </w:tr>
      <w:tr w14:paraId="3AF53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3B9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D6E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7F2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F3D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345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256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8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28D4">
            <w:pPr>
              <w:jc w:val="center"/>
            </w:pPr>
            <w:r>
              <w:rPr>
                <w:rFonts w:ascii="宋体" w:hAnsi="宋体" w:eastAsia="宋体"/>
                <w:sz w:val="16"/>
              </w:rPr>
              <w:t>—</w:t>
            </w:r>
          </w:p>
        </w:tc>
      </w:tr>
      <w:tr w14:paraId="5E7BEB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833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F58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4CD180">
            <w:pPr>
              <w:jc w:val="center"/>
            </w:pPr>
            <w:r>
              <w:rPr>
                <w:rFonts w:ascii="宋体" w:hAnsi="宋体" w:eastAsia="宋体"/>
                <w:sz w:val="16"/>
              </w:rPr>
              <w:t>实际完成情况</w:t>
            </w:r>
          </w:p>
        </w:tc>
      </w:tr>
      <w:tr w14:paraId="28F3F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627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6DA02">
            <w:pPr>
              <w:jc w:val="both"/>
            </w:pPr>
            <w:r>
              <w:rPr>
                <w:rFonts w:ascii="宋体" w:hAnsi="宋体" w:eastAsia="宋体"/>
                <w:sz w:val="16"/>
              </w:rPr>
              <w:t>为音加尔村巷道沥青路面硬化3000平方米，该项目实施后，可使全村干部群众直接受益，对周边村庄形成良好的示范带动作用，为今后的美丽乡村建设积累经验，通过该项目的实施，逐步实现村容村貌提升、村庄美化、卫生净化等目标，使农村人居环境得到明显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FCF1CD">
            <w:pPr>
              <w:jc w:val="both"/>
            </w:pPr>
            <w:r>
              <w:rPr>
                <w:rFonts w:ascii="宋体" w:hAnsi="宋体" w:eastAsia="宋体"/>
                <w:sz w:val="16"/>
              </w:rPr>
              <w:t>已</w:t>
            </w:r>
            <w:r>
              <w:rPr>
                <w:rFonts w:hint="eastAsia" w:ascii="宋体" w:hAnsi="宋体"/>
                <w:sz w:val="16"/>
                <w:lang w:eastAsia="zh-CN"/>
              </w:rPr>
              <w:t>完成</w:t>
            </w:r>
            <w:r>
              <w:rPr>
                <w:rFonts w:ascii="宋体" w:hAnsi="宋体" w:eastAsia="宋体"/>
                <w:sz w:val="16"/>
              </w:rPr>
              <w:t>音加尔村巷道沥青路面硬化3000平方米全部建设内容，该项目实施后，使音加尔村人居环境基础设施得到明显改善。</w:t>
            </w:r>
          </w:p>
        </w:tc>
      </w:tr>
      <w:tr w14:paraId="4C5177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A07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BC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16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08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3F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CE7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E88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DB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727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02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06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B9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35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FEE4">
            <w:pPr>
              <w:jc w:val="center"/>
            </w:pPr>
            <w:r>
              <w:rPr>
                <w:rFonts w:ascii="宋体" w:hAnsi="宋体" w:eastAsia="宋体"/>
                <w:sz w:val="16"/>
              </w:rPr>
              <w:t>偏差原因分析及改进措施</w:t>
            </w:r>
          </w:p>
        </w:tc>
      </w:tr>
      <w:tr w14:paraId="319BFE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70E7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2F2D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CF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2DE2">
            <w:pPr>
              <w:jc w:val="center"/>
            </w:pPr>
            <w:r>
              <w:rPr>
                <w:rFonts w:ascii="宋体" w:hAnsi="宋体" w:eastAsia="宋体"/>
                <w:sz w:val="16"/>
              </w:rPr>
              <w:t>路面硬化面积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B1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950A">
            <w:pPr>
              <w:jc w:val="center"/>
            </w:pPr>
            <w:r>
              <w:rPr>
                <w:rFonts w:ascii="宋体" w:hAnsi="宋体" w:eastAsia="宋体"/>
                <w:sz w:val="16"/>
              </w:rPr>
              <w:t>&gt;=3000平方米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B510">
            <w:pPr>
              <w:jc w:val="center"/>
            </w:pPr>
            <w:r>
              <w:rPr>
                <w:rFonts w:ascii="宋体" w:hAnsi="宋体" w:eastAsia="宋体"/>
                <w:sz w:val="16"/>
              </w:rPr>
              <w: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2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02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C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D75C">
            <w:pPr>
              <w:jc w:val="center"/>
            </w:pPr>
            <w:r>
              <w:rPr>
                <w:rFonts w:ascii="宋体" w:hAnsi="宋体" w:eastAsia="宋体"/>
                <w:sz w:val="16"/>
              </w:rPr>
              <w: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77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4F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DF32">
            <w:pPr>
              <w:jc w:val="center"/>
            </w:pPr>
          </w:p>
        </w:tc>
      </w:tr>
      <w:tr w14:paraId="54C66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41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1C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3E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3867">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C7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39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3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B1B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5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D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FD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E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9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0D07">
            <w:pPr>
              <w:jc w:val="center"/>
            </w:pPr>
            <w:r>
              <w:rPr>
                <w:rFonts w:ascii="宋体" w:hAnsi="宋体" w:eastAsia="宋体"/>
                <w:sz w:val="16"/>
              </w:rPr>
              <w:t>年初制定绩效目标时预期值设置偏低</w:t>
            </w:r>
          </w:p>
        </w:tc>
      </w:tr>
      <w:tr w14:paraId="2ED72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99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A5D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191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1B51">
            <w:pPr>
              <w:jc w:val="center"/>
            </w:pPr>
            <w:r>
              <w:rPr>
                <w:rFonts w:ascii="宋体" w:hAnsi="宋体" w:eastAsia="宋体"/>
                <w:sz w:val="16"/>
              </w:rPr>
              <w:t>项目完工及时性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4B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56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E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80E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A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E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A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1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B4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D509">
            <w:pPr>
              <w:jc w:val="center"/>
            </w:pPr>
            <w:r>
              <w:rPr>
                <w:rFonts w:ascii="宋体" w:hAnsi="宋体" w:eastAsia="宋体"/>
                <w:sz w:val="16"/>
              </w:rPr>
              <w:t>年初制定绩效目标时预期值设置偏低</w:t>
            </w:r>
          </w:p>
        </w:tc>
      </w:tr>
      <w:tr w14:paraId="3500B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B7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3D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62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C93D">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41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53C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F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200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27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D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4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C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9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9CC7">
            <w:pPr>
              <w:jc w:val="center"/>
            </w:pPr>
            <w:r>
              <w:rPr>
                <w:rFonts w:ascii="宋体" w:hAnsi="宋体" w:eastAsia="宋体"/>
                <w:sz w:val="16"/>
              </w:rPr>
              <w:t>年初制定绩效目标时期望值设置偏低</w:t>
            </w:r>
          </w:p>
        </w:tc>
      </w:tr>
      <w:tr w14:paraId="08748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05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C3F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C2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EACB">
            <w:pPr>
              <w:jc w:val="center"/>
            </w:pPr>
            <w:r>
              <w:rPr>
                <w:rFonts w:ascii="宋体" w:hAnsi="宋体" w:eastAsia="宋体"/>
                <w:sz w:val="16"/>
              </w:rPr>
              <w:t>路面硬化每平方米成本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62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1660">
            <w:pPr>
              <w:jc w:val="center"/>
            </w:pPr>
            <w:r>
              <w:rPr>
                <w:rFonts w:ascii="宋体" w:hAnsi="宋体" w:eastAsia="宋体"/>
                <w:sz w:val="16"/>
              </w:rPr>
              <w:t>&lt;=166元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893A">
            <w:pPr>
              <w:jc w:val="center"/>
            </w:pPr>
            <w:r>
              <w:rPr>
                <w:rFonts w:ascii="宋体" w:hAnsi="宋体" w:eastAsia="宋体"/>
                <w:sz w:val="16"/>
              </w:rPr>
              <w:t>166元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B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70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1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E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90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E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3BFA">
            <w:pPr>
              <w:jc w:val="center"/>
            </w:pPr>
          </w:p>
        </w:tc>
      </w:tr>
      <w:tr w14:paraId="107CB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5A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74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BB1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6BF3">
            <w:pPr>
              <w:jc w:val="center"/>
            </w:pPr>
            <w:r>
              <w:rPr>
                <w:rFonts w:ascii="宋体" w:hAnsi="宋体" w:eastAsia="宋体"/>
                <w:sz w:val="16"/>
              </w:rPr>
              <w:t>人居环境改善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3D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6C12">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824F">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0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9F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F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61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CC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6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AD40">
            <w:pPr>
              <w:jc w:val="center"/>
            </w:pPr>
          </w:p>
        </w:tc>
      </w:tr>
      <w:tr w14:paraId="36C1B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F54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93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37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0377">
            <w:pPr>
              <w:jc w:val="center"/>
            </w:pPr>
            <w:r>
              <w:rPr>
                <w:rFonts w:ascii="宋体" w:hAnsi="宋体" w:eastAsia="宋体"/>
                <w:sz w:val="16"/>
              </w:rPr>
              <w:t>受益群众满意率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D2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CDA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F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634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37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B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F8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EE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CF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8395">
            <w:pPr>
              <w:jc w:val="center"/>
            </w:pPr>
            <w:r>
              <w:rPr>
                <w:rFonts w:ascii="宋体" w:hAnsi="宋体" w:eastAsia="宋体"/>
                <w:sz w:val="16"/>
              </w:rPr>
              <w:t>年初制定绩效目标时预期值设置偏低</w:t>
            </w:r>
          </w:p>
        </w:tc>
      </w:tr>
      <w:tr w14:paraId="127A71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1C2D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E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3BC4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C9E6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439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0E8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A85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E1F7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35C3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BD90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DC0ADF"/>
        </w:tc>
      </w:tr>
    </w:tbl>
    <w:p w14:paraId="76649E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A2D8394">
        <w:tblPrEx>
          <w:tblCellMar>
            <w:top w:w="0" w:type="dxa"/>
            <w:left w:w="108" w:type="dxa"/>
            <w:bottom w:w="0" w:type="dxa"/>
            <w:right w:w="108" w:type="dxa"/>
          </w:tblCellMar>
        </w:tblPrEx>
        <w:tc>
          <w:tcPr>
            <w:tcW w:w="8848" w:type="dxa"/>
            <w:gridSpan w:val="14"/>
            <w:vAlign w:val="center"/>
          </w:tcPr>
          <w:p w14:paraId="39D2B54B">
            <w:pPr>
              <w:jc w:val="center"/>
            </w:pPr>
            <w:r>
              <w:rPr>
                <w:rFonts w:ascii="宋体" w:hAnsi="宋体" w:eastAsia="宋体"/>
                <w:sz w:val="24"/>
              </w:rPr>
              <w:t>项目支出绩效自评表</w:t>
            </w:r>
          </w:p>
        </w:tc>
      </w:tr>
      <w:tr w14:paraId="4211B58C">
        <w:tblPrEx>
          <w:tblCellMar>
            <w:top w:w="0" w:type="dxa"/>
            <w:left w:w="108" w:type="dxa"/>
            <w:bottom w:w="0" w:type="dxa"/>
            <w:right w:w="108" w:type="dxa"/>
          </w:tblCellMar>
        </w:tblPrEx>
        <w:tc>
          <w:tcPr>
            <w:tcW w:w="8848" w:type="dxa"/>
            <w:gridSpan w:val="14"/>
            <w:vAlign w:val="center"/>
          </w:tcPr>
          <w:p w14:paraId="2F512C9E">
            <w:pPr>
              <w:jc w:val="center"/>
            </w:pPr>
            <w:r>
              <w:rPr>
                <w:rFonts w:ascii="宋体" w:hAnsi="宋体" w:eastAsia="宋体"/>
                <w:sz w:val="24"/>
              </w:rPr>
              <w:t>(2024年度)</w:t>
            </w:r>
          </w:p>
        </w:tc>
      </w:tr>
      <w:tr w14:paraId="4ECD17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D9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AF4CE5">
            <w:pPr>
              <w:jc w:val="center"/>
            </w:pPr>
            <w:r>
              <w:rPr>
                <w:rFonts w:ascii="宋体" w:hAnsi="宋体" w:eastAsia="宋体"/>
                <w:sz w:val="16"/>
              </w:rPr>
              <w:t>伊州财农</w:t>
            </w:r>
            <w:r>
              <w:rPr>
                <w:rFonts w:hint="eastAsia" w:ascii="宋体" w:hAnsi="宋体"/>
                <w:sz w:val="16"/>
                <w:lang w:eastAsia="zh-CN"/>
              </w:rPr>
              <w:t>〔2023〕58号</w:t>
            </w:r>
            <w:r>
              <w:rPr>
                <w:rFonts w:ascii="宋体" w:hAnsi="宋体" w:eastAsia="宋体"/>
                <w:sz w:val="16"/>
              </w:rPr>
              <w:t>自治区农村综合改革项目</w:t>
            </w:r>
          </w:p>
        </w:tc>
      </w:tr>
      <w:tr w14:paraId="7013C5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7C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07F118">
            <w:pPr>
              <w:jc w:val="center"/>
            </w:pPr>
            <w:r>
              <w:rPr>
                <w:rFonts w:ascii="宋体" w:hAnsi="宋体" w:eastAsia="宋体"/>
                <w:sz w:val="16"/>
              </w:rPr>
              <w:t>特克斯县喀拉托海镇人民政府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1C5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DC7F4C">
            <w:pPr>
              <w:jc w:val="center"/>
            </w:pPr>
            <w:r>
              <w:rPr>
                <w:rFonts w:ascii="宋体" w:hAnsi="宋体" w:eastAsia="宋体"/>
                <w:sz w:val="16"/>
              </w:rPr>
              <w:t>特克斯县喀拉托海镇人民政府</w:t>
            </w:r>
          </w:p>
        </w:tc>
      </w:tr>
      <w:tr w14:paraId="2C6E7D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E007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798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224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54F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5A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781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457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7258">
            <w:pPr>
              <w:jc w:val="center"/>
            </w:pPr>
            <w:r>
              <w:rPr>
                <w:rFonts w:ascii="宋体" w:hAnsi="宋体" w:eastAsia="宋体"/>
                <w:sz w:val="16"/>
              </w:rPr>
              <w:t>得分</w:t>
            </w:r>
          </w:p>
        </w:tc>
      </w:tr>
      <w:tr w14:paraId="28C8B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339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955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3479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2F7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FFF8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E46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1D4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4DD7">
            <w:pPr>
              <w:jc w:val="center"/>
            </w:pPr>
            <w:r>
              <w:rPr>
                <w:rFonts w:ascii="宋体" w:hAnsi="宋体" w:eastAsia="宋体"/>
                <w:sz w:val="16"/>
              </w:rPr>
              <w:t>10.00</w:t>
            </w:r>
          </w:p>
        </w:tc>
      </w:tr>
      <w:tr w14:paraId="53690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9C4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0BB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3E23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6182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3FFC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26C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F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C2CA">
            <w:pPr>
              <w:jc w:val="center"/>
            </w:pPr>
            <w:r>
              <w:rPr>
                <w:rFonts w:ascii="宋体" w:hAnsi="宋体" w:eastAsia="宋体"/>
                <w:sz w:val="16"/>
              </w:rPr>
              <w:t>—</w:t>
            </w:r>
          </w:p>
        </w:tc>
      </w:tr>
      <w:tr w14:paraId="15F29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F72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74B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BF5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7FE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BA9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660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341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F113">
            <w:pPr>
              <w:jc w:val="center"/>
            </w:pPr>
            <w:r>
              <w:rPr>
                <w:rFonts w:ascii="宋体" w:hAnsi="宋体" w:eastAsia="宋体"/>
                <w:sz w:val="16"/>
              </w:rPr>
              <w:t>—</w:t>
            </w:r>
          </w:p>
        </w:tc>
      </w:tr>
      <w:tr w14:paraId="349C62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8FE8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D60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549FD0">
            <w:pPr>
              <w:jc w:val="center"/>
            </w:pPr>
            <w:r>
              <w:rPr>
                <w:rFonts w:ascii="宋体" w:hAnsi="宋体" w:eastAsia="宋体"/>
                <w:sz w:val="16"/>
              </w:rPr>
              <w:t>实际完成情况</w:t>
            </w:r>
          </w:p>
        </w:tc>
      </w:tr>
      <w:tr w14:paraId="74596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45D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0A11E">
            <w:pPr>
              <w:jc w:val="both"/>
            </w:pPr>
            <w:r>
              <w:rPr>
                <w:rFonts w:ascii="宋体" w:hAnsi="宋体" w:eastAsia="宋体"/>
                <w:sz w:val="16"/>
              </w:rPr>
              <w:t>为喀拉托海村建设公共卫生间1座，村民活动中心水泥地面硬化2700平米，该项目实施后，可使全村干部群众直接受益，对周边村庄形成良好的示范带动作用，为今后的美丽乡村建设积累经验，通过该项目的实施，逐步实现村容村貌提升、村庄美化、卫生净化等目标，使农村人居环境得到明显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DB97DF">
            <w:pPr>
              <w:jc w:val="both"/>
            </w:pPr>
            <w:r>
              <w:rPr>
                <w:rFonts w:ascii="宋体" w:hAnsi="宋体" w:eastAsia="宋体"/>
                <w:sz w:val="16"/>
              </w:rPr>
              <w:t>已完成为喀拉托海村建设公共卫生间1座，村民活动中心水泥地面硬化2700</w:t>
            </w:r>
            <w:r>
              <w:rPr>
                <w:rFonts w:hint="eastAsia" w:ascii="宋体" w:hAnsi="宋体"/>
                <w:sz w:val="16"/>
                <w:lang w:eastAsia="zh-CN"/>
              </w:rPr>
              <w:t>平方</w:t>
            </w:r>
            <w:r>
              <w:rPr>
                <w:rFonts w:ascii="宋体" w:hAnsi="宋体" w:eastAsia="宋体"/>
                <w:sz w:val="16"/>
              </w:rPr>
              <w:t>米全部建设内容的建设，该项目的实施，使喀拉托海村人居环境得到改善，服务周边干部群众。</w:t>
            </w:r>
          </w:p>
        </w:tc>
      </w:tr>
      <w:tr w14:paraId="6B5988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E47E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69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E5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7E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B6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C09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58A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48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CA5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AF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6A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28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D2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ACD3">
            <w:pPr>
              <w:jc w:val="center"/>
            </w:pPr>
            <w:r>
              <w:rPr>
                <w:rFonts w:ascii="宋体" w:hAnsi="宋体" w:eastAsia="宋体"/>
                <w:sz w:val="16"/>
              </w:rPr>
              <w:t>偏差原因分析及改进措施</w:t>
            </w:r>
          </w:p>
        </w:tc>
      </w:tr>
      <w:tr w14:paraId="03A817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C4D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26D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B8D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3769">
            <w:pPr>
              <w:jc w:val="center"/>
            </w:pPr>
            <w:r>
              <w:rPr>
                <w:rFonts w:ascii="宋体" w:hAnsi="宋体" w:eastAsia="宋体"/>
                <w:sz w:val="16"/>
              </w:rPr>
              <w:t>新建公共卫生间数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EA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A9FE">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87AA">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1D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9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4A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C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7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1C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640A">
            <w:pPr>
              <w:jc w:val="center"/>
            </w:pPr>
          </w:p>
        </w:tc>
      </w:tr>
      <w:tr w14:paraId="5FB66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EA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6F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BDF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8B91">
            <w:pPr>
              <w:jc w:val="center"/>
            </w:pPr>
            <w:r>
              <w:rPr>
                <w:rFonts w:ascii="宋体" w:hAnsi="宋体" w:eastAsia="宋体"/>
                <w:sz w:val="16"/>
              </w:rPr>
              <w:t>水泥路面硬化指标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F3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AE60">
            <w:pPr>
              <w:jc w:val="center"/>
            </w:pPr>
            <w:r>
              <w:rPr>
                <w:rFonts w:ascii="宋体" w:hAnsi="宋体" w:eastAsia="宋体"/>
                <w:sz w:val="16"/>
              </w:rPr>
              <w:t>&gt;=2700平方米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4657">
            <w:pPr>
              <w:jc w:val="center"/>
            </w:pPr>
            <w:r>
              <w:rPr>
                <w:rFonts w:ascii="宋体" w:hAnsi="宋体" w:eastAsia="宋体"/>
                <w:sz w:val="16"/>
              </w:rPr>
              <w:t>2700平方米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0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BA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B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FD74">
            <w:pPr>
              <w:jc w:val="center"/>
            </w:pPr>
            <w:r>
              <w:rPr>
                <w:rFonts w:ascii="宋体" w:hAnsi="宋体" w:eastAsia="宋体"/>
                <w:sz w:val="16"/>
              </w:rPr>
              <w:t>1300平方米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39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C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BA6D">
            <w:pPr>
              <w:jc w:val="center"/>
            </w:pPr>
          </w:p>
        </w:tc>
      </w:tr>
      <w:tr w14:paraId="72ABC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94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A7F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F8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6E8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04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BBF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E5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CACB">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92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B7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BC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23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7F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4786">
            <w:pPr>
              <w:jc w:val="center"/>
            </w:pPr>
            <w:r>
              <w:rPr>
                <w:rFonts w:ascii="宋体" w:hAnsi="宋体" w:eastAsia="宋体"/>
                <w:sz w:val="16"/>
              </w:rPr>
              <w:t>年初制定目标时期望值设置偏低</w:t>
            </w:r>
          </w:p>
        </w:tc>
      </w:tr>
      <w:tr w14:paraId="0D8E2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25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DF4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B15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761A">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AC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3B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7D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CAA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8F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4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2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8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09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0A58">
            <w:pPr>
              <w:jc w:val="center"/>
            </w:pPr>
            <w:r>
              <w:rPr>
                <w:rFonts w:ascii="宋体" w:hAnsi="宋体" w:eastAsia="宋体"/>
                <w:sz w:val="16"/>
              </w:rPr>
              <w:t>年初制定目标时期望值设置偏低</w:t>
            </w:r>
          </w:p>
        </w:tc>
      </w:tr>
      <w:tr w14:paraId="2495D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59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01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52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B48E">
            <w:pPr>
              <w:jc w:val="center"/>
            </w:pPr>
            <w:r>
              <w:rPr>
                <w:rFonts w:ascii="宋体" w:hAnsi="宋体" w:eastAsia="宋体"/>
                <w:sz w:val="16"/>
              </w:rPr>
              <w:t>项目完工及时性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7A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D6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E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1D1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F9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B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16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8C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E3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719D">
            <w:pPr>
              <w:jc w:val="center"/>
            </w:pPr>
            <w:r>
              <w:rPr>
                <w:rFonts w:ascii="宋体" w:hAnsi="宋体" w:eastAsia="宋体"/>
                <w:sz w:val="16"/>
              </w:rPr>
              <w:t>年初制定目标时期望值设置偏低</w:t>
            </w:r>
          </w:p>
        </w:tc>
      </w:tr>
      <w:tr w14:paraId="725A7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E9B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70B8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6D2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C7FC">
            <w:pPr>
              <w:jc w:val="center"/>
            </w:pPr>
            <w:r>
              <w:rPr>
                <w:rFonts w:ascii="宋体" w:hAnsi="宋体" w:eastAsia="宋体"/>
                <w:sz w:val="16"/>
              </w:rPr>
              <w:t>新建卫生间成本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7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85E3">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6C0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4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CD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D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F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A3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7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4DFD">
            <w:pPr>
              <w:jc w:val="center"/>
            </w:pPr>
          </w:p>
        </w:tc>
      </w:tr>
      <w:tr w14:paraId="7ABC6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C2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DD6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82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EA49">
            <w:pPr>
              <w:jc w:val="center"/>
            </w:pPr>
            <w:r>
              <w:rPr>
                <w:rFonts w:ascii="宋体" w:hAnsi="宋体" w:eastAsia="宋体"/>
                <w:sz w:val="16"/>
              </w:rPr>
              <w:t>路面硬化每平方米成本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5E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A020">
            <w:pPr>
              <w:jc w:val="center"/>
            </w:pPr>
            <w:r>
              <w:rPr>
                <w:rFonts w:ascii="宋体" w:hAnsi="宋体" w:eastAsia="宋体"/>
                <w:sz w:val="16"/>
              </w:rPr>
              <w:t>&lt;=129元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D134">
            <w:pPr>
              <w:jc w:val="center"/>
            </w:pPr>
            <w:r>
              <w:rPr>
                <w:rFonts w:ascii="宋体" w:hAnsi="宋体" w:eastAsia="宋体"/>
                <w:sz w:val="16"/>
              </w:rPr>
              <w:t>129元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6A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96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2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4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A5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07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ECE3">
            <w:pPr>
              <w:jc w:val="center"/>
            </w:pPr>
          </w:p>
        </w:tc>
      </w:tr>
      <w:tr w14:paraId="6AB27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BA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6A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300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4BC3">
            <w:pPr>
              <w:jc w:val="center"/>
            </w:pPr>
            <w:r>
              <w:rPr>
                <w:rFonts w:ascii="宋体" w:hAnsi="宋体" w:eastAsia="宋体"/>
                <w:sz w:val="16"/>
              </w:rPr>
              <w:t>人居环境改善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C5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9C6F">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B85C">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5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D3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7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A2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E0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A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D263">
            <w:pPr>
              <w:jc w:val="center"/>
            </w:pPr>
          </w:p>
        </w:tc>
      </w:tr>
      <w:tr w14:paraId="2F885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F1D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1B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3A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D627">
            <w:pPr>
              <w:jc w:val="center"/>
            </w:pPr>
            <w:r>
              <w:rPr>
                <w:rFonts w:ascii="宋体" w:hAnsi="宋体" w:eastAsia="宋体"/>
                <w:sz w:val="16"/>
              </w:rPr>
              <w:t>受益群众满意率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D6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51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5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507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81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9F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BA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9B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A9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ABF9">
            <w:pPr>
              <w:jc w:val="center"/>
            </w:pPr>
            <w:r>
              <w:rPr>
                <w:rFonts w:ascii="宋体" w:hAnsi="宋体" w:eastAsia="宋体"/>
                <w:sz w:val="16"/>
              </w:rPr>
              <w:t>年初制定目标时期望值设置偏低</w:t>
            </w:r>
          </w:p>
        </w:tc>
      </w:tr>
      <w:tr w14:paraId="19D550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8C11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8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CA0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506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DA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58D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9744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6E5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83CD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BD9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BFA50D"/>
        </w:tc>
      </w:tr>
    </w:tbl>
    <w:p w14:paraId="3D564868">
      <w:r>
        <w:br w:type="page"/>
      </w:r>
    </w:p>
    <w:tbl>
      <w:tblPr>
        <w:tblStyle w:val="9"/>
        <w:tblW w:w="5077" w:type="pct"/>
        <w:jc w:val="center"/>
        <w:tblLayout w:type="autofit"/>
        <w:tblCellMar>
          <w:top w:w="0" w:type="dxa"/>
          <w:left w:w="108" w:type="dxa"/>
          <w:bottom w:w="0" w:type="dxa"/>
          <w:right w:w="108" w:type="dxa"/>
        </w:tblCellMar>
      </w:tblPr>
      <w:tblGrid>
        <w:gridCol w:w="620"/>
        <w:gridCol w:w="546"/>
        <w:gridCol w:w="581"/>
        <w:gridCol w:w="1065"/>
        <w:gridCol w:w="532"/>
        <w:gridCol w:w="885"/>
        <w:gridCol w:w="800"/>
        <w:gridCol w:w="646"/>
        <w:gridCol w:w="539"/>
        <w:gridCol w:w="519"/>
        <w:gridCol w:w="502"/>
        <w:gridCol w:w="554"/>
        <w:gridCol w:w="473"/>
        <w:gridCol w:w="938"/>
      </w:tblGrid>
      <w:tr w14:paraId="0A27FBE5">
        <w:tblPrEx>
          <w:tblCellMar>
            <w:top w:w="0" w:type="dxa"/>
            <w:left w:w="108" w:type="dxa"/>
            <w:bottom w:w="0" w:type="dxa"/>
            <w:right w:w="108" w:type="dxa"/>
          </w:tblCellMar>
        </w:tblPrEx>
        <w:trPr>
          <w:trHeight w:val="460" w:hRule="atLeast"/>
          <w:jc w:val="center"/>
        </w:trPr>
        <w:tc>
          <w:tcPr>
            <w:tcW w:w="5000" w:type="pct"/>
            <w:gridSpan w:val="14"/>
            <w:vAlign w:val="center"/>
          </w:tcPr>
          <w:p w14:paraId="740148F2">
            <w:pPr>
              <w:snapToGrid w:val="0"/>
              <w:jc w:val="center"/>
            </w:pPr>
            <w:r>
              <w:rPr>
                <w:rFonts w:ascii="宋体" w:hAnsi="宋体" w:eastAsia="宋体"/>
                <w:sz w:val="24"/>
              </w:rPr>
              <w:t>项目支出绩效自评表</w:t>
            </w:r>
          </w:p>
        </w:tc>
      </w:tr>
      <w:tr w14:paraId="0D81059A">
        <w:tblPrEx>
          <w:tblCellMar>
            <w:top w:w="0" w:type="dxa"/>
            <w:left w:w="108" w:type="dxa"/>
            <w:bottom w:w="0" w:type="dxa"/>
            <w:right w:w="108" w:type="dxa"/>
          </w:tblCellMar>
        </w:tblPrEx>
        <w:trPr>
          <w:trHeight w:val="460" w:hRule="atLeast"/>
          <w:jc w:val="center"/>
        </w:trPr>
        <w:tc>
          <w:tcPr>
            <w:tcW w:w="5000" w:type="pct"/>
            <w:gridSpan w:val="14"/>
            <w:vAlign w:val="center"/>
          </w:tcPr>
          <w:p w14:paraId="3057A5ED">
            <w:pPr>
              <w:snapToGrid w:val="0"/>
              <w:jc w:val="center"/>
            </w:pPr>
            <w:r>
              <w:rPr>
                <w:rFonts w:ascii="宋体" w:hAnsi="宋体" w:eastAsia="宋体"/>
                <w:sz w:val="24"/>
              </w:rPr>
              <w:t>(2024年度)</w:t>
            </w:r>
          </w:p>
        </w:tc>
      </w:tr>
      <w:tr w14:paraId="6DD175F9">
        <w:tblPrEx>
          <w:tblCellMar>
            <w:top w:w="0" w:type="dxa"/>
            <w:left w:w="108" w:type="dxa"/>
            <w:bottom w:w="0" w:type="dxa"/>
            <w:right w:w="108" w:type="dxa"/>
          </w:tblCellMar>
        </w:tblPrEx>
        <w:trPr>
          <w:trHeight w:val="652" w:hRule="atLeast"/>
          <w:jc w:val="center"/>
        </w:trPr>
        <w:tc>
          <w:tcPr>
            <w:tcW w:w="337" w:type="pct"/>
            <w:tcBorders>
              <w:top w:val="single" w:color="auto" w:sz="10" w:space="0"/>
              <w:left w:val="single" w:color="auto" w:sz="10" w:space="0"/>
              <w:bottom w:val="single" w:color="auto" w:sz="10" w:space="0"/>
              <w:right w:val="single" w:color="auto" w:sz="10" w:space="0"/>
              <w:insideV w:val="single" w:sz="10" w:space="0"/>
            </w:tcBorders>
            <w:vAlign w:val="center"/>
          </w:tcPr>
          <w:p w14:paraId="1E22A10C">
            <w:pPr>
              <w:snapToGrid w:val="0"/>
              <w:jc w:val="center"/>
            </w:pPr>
            <w:r>
              <w:rPr>
                <w:rFonts w:ascii="宋体" w:hAnsi="宋体" w:eastAsia="宋体"/>
                <w:sz w:val="16"/>
              </w:rPr>
              <w:t>项目名称</w:t>
            </w:r>
          </w:p>
        </w:tc>
        <w:tc>
          <w:tcPr>
            <w:tcW w:w="4662" w:type="pct"/>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7485C1">
            <w:pPr>
              <w:snapToGrid w:val="0"/>
              <w:jc w:val="center"/>
            </w:pPr>
            <w:r>
              <w:rPr>
                <w:rFonts w:ascii="宋体" w:hAnsi="宋体" w:eastAsia="宋体"/>
                <w:sz w:val="16"/>
              </w:rPr>
              <w:t>伊州财建</w:t>
            </w:r>
            <w:r>
              <w:rPr>
                <w:rFonts w:hint="eastAsia" w:ascii="宋体" w:hAnsi="宋体"/>
                <w:sz w:val="16"/>
                <w:lang w:eastAsia="zh-CN"/>
              </w:rPr>
              <w:t>〔2024〕81号</w:t>
            </w:r>
            <w:r>
              <w:rPr>
                <w:rFonts w:ascii="宋体" w:hAnsi="宋体" w:eastAsia="宋体"/>
                <w:sz w:val="16"/>
              </w:rPr>
              <w:t>伊犁州特克斯县喀拉托海镇2024年度牧民越冬放牧点生产用房（居住）建设项目</w:t>
            </w:r>
          </w:p>
        </w:tc>
      </w:tr>
      <w:tr w14:paraId="3484EB6F">
        <w:tblPrEx>
          <w:tblCellMar>
            <w:top w:w="0" w:type="dxa"/>
            <w:left w:w="108" w:type="dxa"/>
            <w:bottom w:w="0" w:type="dxa"/>
            <w:right w:w="108" w:type="dxa"/>
          </w:tblCellMar>
        </w:tblPrEx>
        <w:trPr>
          <w:trHeight w:val="1267" w:hRule="atLeast"/>
          <w:jc w:val="center"/>
        </w:trPr>
        <w:tc>
          <w:tcPr>
            <w:tcW w:w="337" w:type="pct"/>
            <w:tcBorders>
              <w:top w:val="single" w:color="auto" w:sz="10" w:space="0"/>
              <w:left w:val="single" w:color="auto" w:sz="10" w:space="0"/>
              <w:bottom w:val="single" w:color="auto" w:sz="10" w:space="0"/>
              <w:right w:val="single" w:color="auto" w:sz="10" w:space="0"/>
              <w:insideV w:val="single" w:sz="10" w:space="0"/>
            </w:tcBorders>
            <w:vAlign w:val="center"/>
          </w:tcPr>
          <w:p w14:paraId="659A60E4">
            <w:pPr>
              <w:snapToGrid w:val="0"/>
              <w:jc w:val="center"/>
            </w:pPr>
            <w:r>
              <w:rPr>
                <w:rFonts w:ascii="宋体" w:hAnsi="宋体" w:eastAsia="宋体"/>
                <w:sz w:val="16"/>
              </w:rPr>
              <w:t>主管部门</w:t>
            </w:r>
          </w:p>
        </w:tc>
        <w:tc>
          <w:tcPr>
            <w:tcW w:w="2747" w:type="pct"/>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D6892">
            <w:pPr>
              <w:snapToGrid w:val="0"/>
              <w:jc w:val="center"/>
            </w:pPr>
            <w:r>
              <w:rPr>
                <w:rFonts w:ascii="宋体" w:hAnsi="宋体" w:eastAsia="宋体"/>
                <w:sz w:val="16"/>
              </w:rPr>
              <w:t>特克斯县喀拉托海镇人民政府</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3946FB0F">
            <w:pPr>
              <w:snapToGrid w:val="0"/>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1622" w:type="pct"/>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FF05D1">
            <w:pPr>
              <w:snapToGrid w:val="0"/>
              <w:jc w:val="center"/>
            </w:pPr>
            <w:r>
              <w:rPr>
                <w:rFonts w:ascii="宋体" w:hAnsi="宋体" w:eastAsia="宋体"/>
                <w:sz w:val="16"/>
              </w:rPr>
              <w:t>特克斯县喀拉托海镇人民政府</w:t>
            </w:r>
          </w:p>
        </w:tc>
      </w:tr>
      <w:tr w14:paraId="0F4B60B7">
        <w:tblPrEx>
          <w:tblCellMar>
            <w:top w:w="0" w:type="dxa"/>
            <w:left w:w="108" w:type="dxa"/>
            <w:bottom w:w="0" w:type="dxa"/>
            <w:right w:w="108" w:type="dxa"/>
          </w:tblCellMar>
        </w:tblPrEx>
        <w:trPr>
          <w:trHeight w:val="580" w:hRule="atLeast"/>
          <w:jc w:val="center"/>
        </w:trPr>
        <w:tc>
          <w:tcPr>
            <w:tcW w:w="337"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A3C4C">
            <w:pPr>
              <w:snapToGrid w:val="0"/>
              <w:jc w:val="center"/>
            </w:pPr>
            <w:r>
              <w:rPr>
                <w:rFonts w:ascii="宋体" w:hAnsi="宋体" w:eastAsia="宋体"/>
                <w:sz w:val="16"/>
              </w:rPr>
              <w:t>项目资金（万元）</w:t>
            </w:r>
          </w:p>
        </w:tc>
        <w:tc>
          <w:tcPr>
            <w:tcW w:w="613"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C2572">
            <w:pPr>
              <w:snapToGrid w:val="0"/>
              <w:jc w:val="center"/>
            </w:pPr>
          </w:p>
        </w:tc>
        <w:tc>
          <w:tcPr>
            <w:tcW w:w="86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8C82A">
            <w:pPr>
              <w:snapToGrid w:val="0"/>
              <w:jc w:val="center"/>
            </w:pPr>
            <w:r>
              <w:rPr>
                <w:rFonts w:ascii="宋体" w:hAnsi="宋体" w:eastAsia="宋体"/>
                <w:sz w:val="16"/>
              </w:rPr>
              <w:t>年初预算数</w:t>
            </w:r>
          </w:p>
        </w:tc>
        <w:tc>
          <w:tcPr>
            <w:tcW w:w="91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A481D">
            <w:pPr>
              <w:snapToGrid w:val="0"/>
              <w:jc w:val="center"/>
            </w:pPr>
            <w:r>
              <w:rPr>
                <w:rFonts w:ascii="宋体" w:hAnsi="宋体" w:eastAsia="宋体"/>
                <w:sz w:val="16"/>
              </w:rPr>
              <w:t>全年预算数</w:t>
            </w:r>
          </w:p>
        </w:tc>
        <w:tc>
          <w:tcPr>
            <w:tcW w:w="644"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D50AB">
            <w:pPr>
              <w:snapToGrid w:val="0"/>
              <w:jc w:val="center"/>
            </w:pPr>
            <w:r>
              <w:rPr>
                <w:rFonts w:ascii="宋体" w:hAnsi="宋体" w:eastAsia="宋体"/>
                <w:sz w:val="16"/>
              </w:rPr>
              <w:t>全年执行数</w:t>
            </w:r>
          </w:p>
        </w:tc>
        <w:tc>
          <w:tcPr>
            <w:tcW w:w="55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18409">
            <w:pPr>
              <w:snapToGrid w:val="0"/>
              <w:jc w:val="center"/>
            </w:pPr>
            <w:r>
              <w:rPr>
                <w:rFonts w:ascii="宋体" w:hAnsi="宋体" w:eastAsia="宋体"/>
                <w:sz w:val="16"/>
              </w:rPr>
              <w:t>分值</w:t>
            </w:r>
          </w:p>
        </w:tc>
        <w:tc>
          <w:tcPr>
            <w:tcW w:w="55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0351E">
            <w:pPr>
              <w:snapToGrid w:val="0"/>
              <w:jc w:val="center"/>
            </w:pPr>
            <w:r>
              <w:rPr>
                <w:rFonts w:ascii="宋体" w:hAnsi="宋体" w:eastAsia="宋体"/>
                <w:sz w:val="16"/>
              </w:rPr>
              <w:t>执行率</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28D89642">
            <w:pPr>
              <w:snapToGrid w:val="0"/>
              <w:jc w:val="center"/>
            </w:pPr>
            <w:r>
              <w:rPr>
                <w:rFonts w:ascii="宋体" w:hAnsi="宋体" w:eastAsia="宋体"/>
                <w:sz w:val="16"/>
              </w:rPr>
              <w:t>得分</w:t>
            </w:r>
          </w:p>
        </w:tc>
      </w:tr>
      <w:tr w14:paraId="55449176">
        <w:tblPrEx>
          <w:tblCellMar>
            <w:top w:w="0" w:type="dxa"/>
            <w:left w:w="108" w:type="dxa"/>
            <w:bottom w:w="0" w:type="dxa"/>
            <w:right w:w="108" w:type="dxa"/>
          </w:tblCellMar>
        </w:tblPrEx>
        <w:trPr>
          <w:trHeight w:val="652"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761DE10A">
            <w:pPr>
              <w:snapToGrid w:val="0"/>
            </w:pPr>
          </w:p>
        </w:tc>
        <w:tc>
          <w:tcPr>
            <w:tcW w:w="613"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0826C">
            <w:pPr>
              <w:snapToGrid w:val="0"/>
              <w:jc w:val="center"/>
            </w:pPr>
            <w:r>
              <w:rPr>
                <w:rFonts w:ascii="宋体" w:hAnsi="宋体" w:eastAsia="宋体"/>
                <w:sz w:val="16"/>
              </w:rPr>
              <w:t>年度资金总额</w:t>
            </w:r>
          </w:p>
        </w:tc>
        <w:tc>
          <w:tcPr>
            <w:tcW w:w="86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40EBB">
            <w:pPr>
              <w:snapToGrid w:val="0"/>
              <w:jc w:val="center"/>
            </w:pPr>
            <w:r>
              <w:rPr>
                <w:rFonts w:ascii="宋体" w:hAnsi="宋体" w:eastAsia="宋体"/>
                <w:sz w:val="16"/>
              </w:rPr>
              <w:t>897.00</w:t>
            </w:r>
          </w:p>
        </w:tc>
        <w:tc>
          <w:tcPr>
            <w:tcW w:w="91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3DBFC">
            <w:pPr>
              <w:snapToGrid w:val="0"/>
              <w:jc w:val="center"/>
            </w:pPr>
            <w:r>
              <w:rPr>
                <w:rFonts w:ascii="宋体" w:hAnsi="宋体" w:eastAsia="宋体"/>
                <w:sz w:val="16"/>
              </w:rPr>
              <w:t>897.00</w:t>
            </w:r>
          </w:p>
        </w:tc>
        <w:tc>
          <w:tcPr>
            <w:tcW w:w="644"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B35E3">
            <w:pPr>
              <w:snapToGrid w:val="0"/>
              <w:jc w:val="center"/>
            </w:pPr>
            <w:r>
              <w:rPr>
                <w:rFonts w:ascii="宋体" w:hAnsi="宋体" w:eastAsia="宋体"/>
                <w:sz w:val="16"/>
              </w:rPr>
              <w:t>897.00</w:t>
            </w:r>
          </w:p>
        </w:tc>
        <w:tc>
          <w:tcPr>
            <w:tcW w:w="55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45A46">
            <w:pPr>
              <w:snapToGrid w:val="0"/>
              <w:jc w:val="center"/>
            </w:pPr>
            <w:r>
              <w:rPr>
                <w:rFonts w:ascii="宋体" w:hAnsi="宋体" w:eastAsia="宋体"/>
                <w:sz w:val="16"/>
              </w:rPr>
              <w:t>10</w:t>
            </w:r>
          </w:p>
        </w:tc>
        <w:tc>
          <w:tcPr>
            <w:tcW w:w="55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B0FB3">
            <w:pPr>
              <w:snapToGrid w:val="0"/>
              <w:jc w:val="center"/>
            </w:pPr>
            <w:r>
              <w:rPr>
                <w:rFonts w:ascii="宋体" w:hAnsi="宋体" w:eastAsia="宋体"/>
                <w:sz w:val="16"/>
              </w:rPr>
              <w:t>100.00%</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593A1889">
            <w:pPr>
              <w:snapToGrid w:val="0"/>
              <w:jc w:val="center"/>
            </w:pPr>
            <w:r>
              <w:rPr>
                <w:rFonts w:ascii="宋体" w:hAnsi="宋体" w:eastAsia="宋体"/>
                <w:sz w:val="16"/>
              </w:rPr>
              <w:t>10.00</w:t>
            </w:r>
          </w:p>
        </w:tc>
      </w:tr>
      <w:tr w14:paraId="17FCF0D9">
        <w:tblPrEx>
          <w:tblCellMar>
            <w:top w:w="0" w:type="dxa"/>
            <w:left w:w="108" w:type="dxa"/>
            <w:bottom w:w="0" w:type="dxa"/>
            <w:right w:w="108" w:type="dxa"/>
          </w:tblCellMar>
        </w:tblPrEx>
        <w:trPr>
          <w:trHeight w:val="652"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05CCA089">
            <w:pPr>
              <w:snapToGrid w:val="0"/>
            </w:pPr>
          </w:p>
        </w:tc>
        <w:tc>
          <w:tcPr>
            <w:tcW w:w="613"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BEDA9">
            <w:pPr>
              <w:snapToGrid w:val="0"/>
              <w:jc w:val="center"/>
            </w:pPr>
            <w:r>
              <w:rPr>
                <w:rFonts w:ascii="宋体" w:hAnsi="宋体" w:eastAsia="宋体"/>
                <w:sz w:val="16"/>
              </w:rPr>
              <w:t>其中：当年财政拨款</w:t>
            </w:r>
          </w:p>
        </w:tc>
        <w:tc>
          <w:tcPr>
            <w:tcW w:w="86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39FB3">
            <w:pPr>
              <w:snapToGrid w:val="0"/>
              <w:jc w:val="center"/>
            </w:pPr>
            <w:r>
              <w:rPr>
                <w:rFonts w:ascii="宋体" w:hAnsi="宋体" w:eastAsia="宋体"/>
                <w:sz w:val="16"/>
              </w:rPr>
              <w:t>897.00</w:t>
            </w:r>
          </w:p>
        </w:tc>
        <w:tc>
          <w:tcPr>
            <w:tcW w:w="91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A402F">
            <w:pPr>
              <w:snapToGrid w:val="0"/>
              <w:jc w:val="center"/>
            </w:pPr>
            <w:r>
              <w:rPr>
                <w:rFonts w:ascii="宋体" w:hAnsi="宋体" w:eastAsia="宋体"/>
                <w:sz w:val="16"/>
              </w:rPr>
              <w:t>897.00</w:t>
            </w:r>
          </w:p>
        </w:tc>
        <w:tc>
          <w:tcPr>
            <w:tcW w:w="644"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DC89B">
            <w:pPr>
              <w:snapToGrid w:val="0"/>
              <w:jc w:val="center"/>
            </w:pPr>
            <w:r>
              <w:rPr>
                <w:rFonts w:ascii="宋体" w:hAnsi="宋体" w:eastAsia="宋体"/>
                <w:sz w:val="16"/>
              </w:rPr>
              <w:t>897.00</w:t>
            </w:r>
          </w:p>
        </w:tc>
        <w:tc>
          <w:tcPr>
            <w:tcW w:w="55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B64DD">
            <w:pPr>
              <w:snapToGrid w:val="0"/>
              <w:jc w:val="center"/>
            </w:pPr>
            <w:r>
              <w:rPr>
                <w:rFonts w:ascii="宋体" w:hAnsi="宋体" w:eastAsia="宋体"/>
                <w:sz w:val="16"/>
              </w:rPr>
              <w:t>—</w:t>
            </w:r>
          </w:p>
        </w:tc>
        <w:tc>
          <w:tcPr>
            <w:tcW w:w="55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3A8BD">
            <w:pPr>
              <w:snapToGrid w:val="0"/>
              <w:jc w:val="center"/>
            </w:pPr>
            <w:r>
              <w:rPr>
                <w:rFonts w:ascii="宋体" w:hAnsi="宋体" w:eastAsia="宋体"/>
                <w:sz w:val="16"/>
              </w:rPr>
              <w:t>—</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77A30705">
            <w:pPr>
              <w:snapToGrid w:val="0"/>
              <w:jc w:val="center"/>
            </w:pPr>
            <w:r>
              <w:rPr>
                <w:rFonts w:ascii="宋体" w:hAnsi="宋体" w:eastAsia="宋体"/>
                <w:sz w:val="16"/>
              </w:rPr>
              <w:t>—</w:t>
            </w:r>
          </w:p>
        </w:tc>
      </w:tr>
      <w:tr w14:paraId="1B791D07">
        <w:tblPrEx>
          <w:tblCellMar>
            <w:top w:w="0" w:type="dxa"/>
            <w:left w:w="108" w:type="dxa"/>
            <w:bottom w:w="0" w:type="dxa"/>
            <w:right w:w="108" w:type="dxa"/>
          </w:tblCellMar>
        </w:tblPrEx>
        <w:trPr>
          <w:trHeight w:val="343"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61E46654">
            <w:pPr>
              <w:snapToGrid w:val="0"/>
            </w:pPr>
          </w:p>
        </w:tc>
        <w:tc>
          <w:tcPr>
            <w:tcW w:w="613"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E3356">
            <w:pPr>
              <w:snapToGrid w:val="0"/>
              <w:jc w:val="center"/>
            </w:pPr>
            <w:r>
              <w:rPr>
                <w:rFonts w:ascii="宋体" w:hAnsi="宋体" w:eastAsia="宋体"/>
                <w:sz w:val="16"/>
              </w:rPr>
              <w:t xml:space="preserve">  其他资金</w:t>
            </w:r>
          </w:p>
        </w:tc>
        <w:tc>
          <w:tcPr>
            <w:tcW w:w="86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D89BF">
            <w:pPr>
              <w:snapToGrid w:val="0"/>
              <w:jc w:val="center"/>
            </w:pPr>
            <w:r>
              <w:rPr>
                <w:rFonts w:ascii="宋体" w:hAnsi="宋体" w:eastAsia="宋体"/>
                <w:sz w:val="16"/>
              </w:rPr>
              <w:t>0.00</w:t>
            </w:r>
          </w:p>
        </w:tc>
        <w:tc>
          <w:tcPr>
            <w:tcW w:w="91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27094">
            <w:pPr>
              <w:snapToGrid w:val="0"/>
              <w:jc w:val="center"/>
            </w:pPr>
            <w:r>
              <w:rPr>
                <w:rFonts w:ascii="宋体" w:hAnsi="宋体" w:eastAsia="宋体"/>
                <w:sz w:val="16"/>
              </w:rPr>
              <w:t>0.00</w:t>
            </w:r>
          </w:p>
        </w:tc>
        <w:tc>
          <w:tcPr>
            <w:tcW w:w="644"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EED41">
            <w:pPr>
              <w:snapToGrid w:val="0"/>
              <w:jc w:val="center"/>
            </w:pPr>
            <w:r>
              <w:rPr>
                <w:rFonts w:ascii="宋体" w:hAnsi="宋体" w:eastAsia="宋体"/>
                <w:sz w:val="16"/>
              </w:rPr>
              <w:t>0.00</w:t>
            </w:r>
          </w:p>
        </w:tc>
        <w:tc>
          <w:tcPr>
            <w:tcW w:w="55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E0820">
            <w:pPr>
              <w:snapToGrid w:val="0"/>
              <w:jc w:val="center"/>
            </w:pPr>
            <w:r>
              <w:rPr>
                <w:rFonts w:ascii="宋体" w:hAnsi="宋体" w:eastAsia="宋体"/>
                <w:sz w:val="16"/>
              </w:rPr>
              <w:t>—</w:t>
            </w:r>
          </w:p>
        </w:tc>
        <w:tc>
          <w:tcPr>
            <w:tcW w:w="55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742CD">
            <w:pPr>
              <w:snapToGrid w:val="0"/>
              <w:jc w:val="center"/>
            </w:pPr>
            <w:r>
              <w:rPr>
                <w:rFonts w:ascii="宋体" w:hAnsi="宋体" w:eastAsia="宋体"/>
                <w:sz w:val="16"/>
              </w:rPr>
              <w:t>—</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2394ACF0">
            <w:pPr>
              <w:snapToGrid w:val="0"/>
              <w:jc w:val="center"/>
            </w:pPr>
            <w:r>
              <w:rPr>
                <w:rFonts w:ascii="宋体" w:hAnsi="宋体" w:eastAsia="宋体"/>
                <w:sz w:val="16"/>
              </w:rPr>
              <w:t>—</w:t>
            </w:r>
          </w:p>
        </w:tc>
      </w:tr>
      <w:tr w14:paraId="73802AAB">
        <w:tblPrEx>
          <w:tblCellMar>
            <w:top w:w="0" w:type="dxa"/>
            <w:left w:w="108" w:type="dxa"/>
            <w:bottom w:w="0" w:type="dxa"/>
            <w:right w:w="108" w:type="dxa"/>
          </w:tblCellMar>
        </w:tblPrEx>
        <w:trPr>
          <w:trHeight w:val="343" w:hRule="atLeast"/>
          <w:jc w:val="center"/>
        </w:trPr>
        <w:tc>
          <w:tcPr>
            <w:tcW w:w="337"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5275C">
            <w:pPr>
              <w:snapToGrid w:val="0"/>
              <w:jc w:val="center"/>
            </w:pPr>
            <w:r>
              <w:rPr>
                <w:rFonts w:ascii="宋体" w:hAnsi="宋体" w:eastAsia="宋体"/>
                <w:sz w:val="16"/>
              </w:rPr>
              <w:t>年度总体目标</w:t>
            </w:r>
          </w:p>
        </w:tc>
        <w:tc>
          <w:tcPr>
            <w:tcW w:w="2747" w:type="pct"/>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923CD">
            <w:pPr>
              <w:snapToGrid w:val="0"/>
              <w:jc w:val="center"/>
            </w:pPr>
            <w:r>
              <w:rPr>
                <w:rFonts w:ascii="宋体" w:hAnsi="宋体" w:eastAsia="宋体"/>
                <w:sz w:val="16"/>
              </w:rPr>
              <w:t>预期目标</w:t>
            </w:r>
          </w:p>
        </w:tc>
        <w:tc>
          <w:tcPr>
            <w:tcW w:w="1915" w:type="pct"/>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774962">
            <w:pPr>
              <w:snapToGrid w:val="0"/>
              <w:jc w:val="center"/>
            </w:pPr>
            <w:r>
              <w:rPr>
                <w:rFonts w:ascii="宋体" w:hAnsi="宋体" w:eastAsia="宋体"/>
                <w:sz w:val="16"/>
              </w:rPr>
              <w:t>实际完成情况</w:t>
            </w:r>
          </w:p>
        </w:tc>
      </w:tr>
      <w:tr w14:paraId="2D49294B">
        <w:tblPrEx>
          <w:tblCellMar>
            <w:top w:w="0" w:type="dxa"/>
            <w:left w:w="108" w:type="dxa"/>
            <w:bottom w:w="0" w:type="dxa"/>
            <w:right w:w="108" w:type="dxa"/>
          </w:tblCellMar>
        </w:tblPrEx>
        <w:trPr>
          <w:trHeight w:val="2188"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02179DC9">
            <w:pPr>
              <w:snapToGrid w:val="0"/>
            </w:pPr>
          </w:p>
        </w:tc>
        <w:tc>
          <w:tcPr>
            <w:tcW w:w="2747" w:type="pct"/>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7233E8">
            <w:pPr>
              <w:snapToGrid w:val="0"/>
              <w:jc w:val="both"/>
            </w:pPr>
            <w:r>
              <w:rPr>
                <w:rFonts w:ascii="宋体" w:hAnsi="宋体" w:eastAsia="宋体"/>
                <w:sz w:val="16"/>
              </w:rPr>
              <w:t>通过《关于下达2024年城乡抗震安居工程建设民生实施资金预算的通知》伊州财建</w:t>
            </w:r>
            <w:r>
              <w:rPr>
                <w:rFonts w:hint="eastAsia" w:ascii="宋体" w:hAnsi="宋体"/>
                <w:sz w:val="16"/>
                <w:lang w:eastAsia="zh-CN"/>
              </w:rPr>
              <w:t>〔2024〕81号</w:t>
            </w:r>
            <w:r>
              <w:rPr>
                <w:rFonts w:ascii="宋体" w:hAnsi="宋体" w:eastAsia="宋体"/>
                <w:sz w:val="16"/>
              </w:rPr>
              <w:t>，完成拆除及新建工作。在综合研判我镇牧区地质结构和运费的基础上，实施面积为15-30平方米木结构房屋，轻钢房，共建299户，单户建房价格控制在3万元以内，同时达到抗震、保温、防水要求，牧民越冬放牧点生产用房(居住)建成后上级有关部门按照相关要求进行验收。改善牧民生活环境，提供牧民住房保障，</w:t>
            </w:r>
            <w:r>
              <w:rPr>
                <w:rFonts w:hint="eastAsia" w:ascii="宋体" w:hAnsi="宋体"/>
                <w:sz w:val="16"/>
                <w:lang w:eastAsia="zh-CN"/>
              </w:rPr>
              <w:t>提高</w:t>
            </w:r>
            <w:r>
              <w:rPr>
                <w:rFonts w:ascii="宋体" w:hAnsi="宋体" w:eastAsia="宋体"/>
                <w:sz w:val="16"/>
              </w:rPr>
              <w:t>居民生活水平。</w:t>
            </w:r>
          </w:p>
        </w:tc>
        <w:tc>
          <w:tcPr>
            <w:tcW w:w="1915" w:type="pct"/>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3078E8">
            <w:pPr>
              <w:snapToGrid w:val="0"/>
              <w:jc w:val="both"/>
            </w:pPr>
            <w:r>
              <w:rPr>
                <w:rFonts w:ascii="宋体" w:hAnsi="宋体" w:eastAsia="宋体"/>
                <w:sz w:val="16"/>
              </w:rPr>
              <w:t>建成牧民越冬放牧点生产用房299户，每户造价3万元，达到了抗震、保温、防水要求，牧民越冬放牧点生产用房(居住)建成后上级有关部门按照相关要求进行验收。改善牧民生活环境，提供牧民住房保障，提高了牧区居民生活水平。</w:t>
            </w:r>
          </w:p>
        </w:tc>
      </w:tr>
      <w:tr w14:paraId="06FA8DC1">
        <w:tblPrEx>
          <w:tblCellMar>
            <w:top w:w="0" w:type="dxa"/>
            <w:left w:w="108" w:type="dxa"/>
            <w:bottom w:w="0" w:type="dxa"/>
            <w:right w:w="108" w:type="dxa"/>
          </w:tblCellMar>
        </w:tblPrEx>
        <w:trPr>
          <w:trHeight w:val="2188" w:hRule="atLeast"/>
          <w:jc w:val="center"/>
        </w:trPr>
        <w:tc>
          <w:tcPr>
            <w:tcW w:w="337" w:type="pct"/>
            <w:tcBorders>
              <w:top w:val="single" w:color="auto" w:sz="10" w:space="0"/>
              <w:left w:val="single" w:color="auto" w:sz="10" w:space="0"/>
              <w:bottom w:val="single" w:color="auto" w:sz="10" w:space="0"/>
              <w:right w:val="single" w:color="auto" w:sz="10" w:space="0"/>
              <w:insideV w:val="single" w:sz="10" w:space="0"/>
            </w:tcBorders>
          </w:tcPr>
          <w:p w14:paraId="2AE7394F">
            <w:pPr>
              <w:snapToGrid w:val="0"/>
            </w:pPr>
          </w:p>
        </w:tc>
        <w:tc>
          <w:tcPr>
            <w:tcW w:w="297" w:type="pct"/>
            <w:tcBorders>
              <w:top w:val="single" w:color="auto" w:sz="10" w:space="0"/>
              <w:left w:val="single" w:color="auto" w:sz="10" w:space="0"/>
              <w:bottom w:val="single" w:color="auto" w:sz="10" w:space="0"/>
              <w:right w:val="single" w:color="auto" w:sz="10" w:space="0"/>
              <w:insideV w:val="single" w:sz="10" w:space="0"/>
            </w:tcBorders>
            <w:vAlign w:val="center"/>
          </w:tcPr>
          <w:p w14:paraId="786FE399">
            <w:pPr>
              <w:snapToGrid w:val="0"/>
              <w:jc w:val="center"/>
            </w:pPr>
            <w:r>
              <w:rPr>
                <w:rFonts w:ascii="宋体" w:hAnsi="宋体" w:eastAsia="宋体"/>
                <w:sz w:val="16"/>
              </w:rPr>
              <w:t>一级指标</w:t>
            </w:r>
          </w:p>
        </w:tc>
        <w:tc>
          <w:tcPr>
            <w:tcW w:w="315" w:type="pct"/>
            <w:tcBorders>
              <w:top w:val="single" w:color="auto" w:sz="10" w:space="0"/>
              <w:left w:val="single" w:color="auto" w:sz="10" w:space="0"/>
              <w:bottom w:val="single" w:color="auto" w:sz="10" w:space="0"/>
              <w:right w:val="single" w:color="auto" w:sz="10" w:space="0"/>
              <w:insideV w:val="single" w:sz="10" w:space="0"/>
            </w:tcBorders>
            <w:vAlign w:val="center"/>
          </w:tcPr>
          <w:p w14:paraId="66AE7DB0">
            <w:pPr>
              <w:snapToGrid w:val="0"/>
              <w:jc w:val="center"/>
            </w:pPr>
            <w:r>
              <w:rPr>
                <w:rFonts w:ascii="宋体" w:hAnsi="宋体" w:eastAsia="宋体"/>
                <w:sz w:val="16"/>
              </w:rPr>
              <w:t>二级指标</w:t>
            </w:r>
          </w:p>
        </w:tc>
        <w:tc>
          <w:tcPr>
            <w:tcW w:w="577" w:type="pct"/>
            <w:tcBorders>
              <w:top w:val="single" w:color="auto" w:sz="10" w:space="0"/>
              <w:left w:val="single" w:color="auto" w:sz="10" w:space="0"/>
              <w:bottom w:val="single" w:color="auto" w:sz="10" w:space="0"/>
              <w:right w:val="single" w:color="auto" w:sz="10" w:space="0"/>
              <w:insideV w:val="single" w:sz="10" w:space="0"/>
            </w:tcBorders>
            <w:vAlign w:val="center"/>
          </w:tcPr>
          <w:p w14:paraId="17A2081A">
            <w:pPr>
              <w:snapToGrid w:val="0"/>
              <w:jc w:val="center"/>
            </w:pPr>
            <w:r>
              <w:rPr>
                <w:rFonts w:ascii="宋体" w:hAnsi="宋体" w:eastAsia="宋体"/>
                <w:sz w:val="16"/>
              </w:rPr>
              <w:t>三级指标</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0B84FA1C">
            <w:pPr>
              <w:snapToGrid w:val="0"/>
              <w:jc w:val="center"/>
            </w:pPr>
            <w:r>
              <w:rPr>
                <w:rFonts w:ascii="宋体" w:hAnsi="宋体" w:eastAsia="宋体"/>
                <w:sz w:val="16"/>
              </w:rPr>
              <w:t>权重</w:t>
            </w:r>
          </w:p>
        </w:tc>
        <w:tc>
          <w:tcPr>
            <w:tcW w:w="481" w:type="pct"/>
            <w:tcBorders>
              <w:top w:val="single" w:color="auto" w:sz="10" w:space="0"/>
              <w:left w:val="single" w:color="auto" w:sz="10" w:space="0"/>
              <w:bottom w:val="single" w:color="auto" w:sz="10" w:space="0"/>
              <w:right w:val="single" w:color="auto" w:sz="10" w:space="0"/>
              <w:insideV w:val="single" w:sz="10" w:space="0"/>
            </w:tcBorders>
            <w:vAlign w:val="center"/>
          </w:tcPr>
          <w:p w14:paraId="16233137">
            <w:pPr>
              <w:snapToGrid w:val="0"/>
              <w:jc w:val="center"/>
            </w:pPr>
            <w:r>
              <w:rPr>
                <w:rFonts w:ascii="宋体" w:hAnsi="宋体" w:eastAsia="宋体"/>
                <w:sz w:val="16"/>
              </w:rPr>
              <w:t>目标值</w:t>
            </w:r>
          </w:p>
        </w:tc>
        <w:tc>
          <w:tcPr>
            <w:tcW w:w="434" w:type="pct"/>
            <w:tcBorders>
              <w:top w:val="single" w:color="auto" w:sz="10" w:space="0"/>
              <w:left w:val="single" w:color="auto" w:sz="10" w:space="0"/>
              <w:bottom w:val="single" w:color="auto" w:sz="10" w:space="0"/>
              <w:right w:val="single" w:color="auto" w:sz="10" w:space="0"/>
              <w:insideV w:val="single" w:sz="10" w:space="0"/>
            </w:tcBorders>
            <w:vAlign w:val="center"/>
          </w:tcPr>
          <w:p w14:paraId="590452D3">
            <w:pPr>
              <w:snapToGrid w:val="0"/>
              <w:jc w:val="center"/>
            </w:pPr>
            <w:r>
              <w:rPr>
                <w:rFonts w:ascii="宋体" w:hAnsi="宋体" w:eastAsia="宋体"/>
                <w:sz w:val="16"/>
              </w:rPr>
              <w:t>业绩值</w:t>
            </w:r>
          </w:p>
        </w:tc>
        <w:tc>
          <w:tcPr>
            <w:tcW w:w="351" w:type="pct"/>
            <w:tcBorders>
              <w:top w:val="single" w:color="auto" w:sz="10" w:space="0"/>
              <w:left w:val="single" w:color="auto" w:sz="10" w:space="0"/>
              <w:bottom w:val="single" w:color="auto" w:sz="10" w:space="0"/>
              <w:right w:val="single" w:color="auto" w:sz="10" w:space="0"/>
              <w:insideV w:val="single" w:sz="10" w:space="0"/>
            </w:tcBorders>
            <w:vAlign w:val="center"/>
          </w:tcPr>
          <w:p w14:paraId="57372F1F">
            <w:pPr>
              <w:snapToGrid w:val="0"/>
              <w:jc w:val="center"/>
            </w:pPr>
            <w:r>
              <w:rPr>
                <w:rFonts w:ascii="宋体" w:hAnsi="宋体" w:eastAsia="宋体"/>
                <w:sz w:val="16"/>
              </w:rPr>
              <w:t>完成率</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2C124D19">
            <w:pPr>
              <w:snapToGrid w:val="0"/>
              <w:jc w:val="center"/>
            </w:pPr>
            <w:r>
              <w:rPr>
                <w:rFonts w:ascii="宋体" w:hAnsi="宋体" w:eastAsia="宋体"/>
                <w:sz w:val="16"/>
              </w:rPr>
              <w:t>指标得分</w:t>
            </w:r>
          </w:p>
        </w:tc>
        <w:tc>
          <w:tcPr>
            <w:tcW w:w="282" w:type="pct"/>
            <w:tcBorders>
              <w:top w:val="single" w:color="auto" w:sz="10" w:space="0"/>
              <w:left w:val="single" w:color="auto" w:sz="10" w:space="0"/>
              <w:bottom w:val="single" w:color="auto" w:sz="10" w:space="0"/>
              <w:right w:val="single" w:color="auto" w:sz="10" w:space="0"/>
              <w:insideV w:val="single" w:sz="10" w:space="0"/>
            </w:tcBorders>
            <w:vAlign w:val="center"/>
          </w:tcPr>
          <w:p w14:paraId="48057251">
            <w:pPr>
              <w:snapToGrid w:val="0"/>
              <w:jc w:val="center"/>
            </w:pPr>
            <w:r>
              <w:rPr>
                <w:rFonts w:ascii="宋体" w:hAnsi="宋体" w:eastAsia="宋体"/>
                <w:sz w:val="16"/>
              </w:rPr>
              <w:t>指标值设定依据</w:t>
            </w:r>
          </w:p>
        </w:tc>
        <w:tc>
          <w:tcPr>
            <w:tcW w:w="273" w:type="pct"/>
            <w:tcBorders>
              <w:top w:val="single" w:color="auto" w:sz="10" w:space="0"/>
              <w:left w:val="single" w:color="auto" w:sz="10" w:space="0"/>
              <w:bottom w:val="single" w:color="auto" w:sz="10" w:space="0"/>
              <w:right w:val="single" w:color="auto" w:sz="10" w:space="0"/>
              <w:insideV w:val="single" w:sz="10" w:space="0"/>
            </w:tcBorders>
            <w:vAlign w:val="center"/>
          </w:tcPr>
          <w:p w14:paraId="0917BB73">
            <w:pPr>
              <w:snapToGrid w:val="0"/>
              <w:jc w:val="center"/>
            </w:pPr>
            <w:r>
              <w:rPr>
                <w:rFonts w:ascii="宋体" w:hAnsi="宋体" w:eastAsia="宋体"/>
                <w:sz w:val="16"/>
              </w:rPr>
              <w:t>上年完成情况</w:t>
            </w:r>
          </w:p>
        </w:tc>
        <w:tc>
          <w:tcPr>
            <w:tcW w:w="301" w:type="pct"/>
            <w:tcBorders>
              <w:top w:val="single" w:color="auto" w:sz="10" w:space="0"/>
              <w:left w:val="single" w:color="auto" w:sz="10" w:space="0"/>
              <w:bottom w:val="single" w:color="auto" w:sz="10" w:space="0"/>
              <w:right w:val="single" w:color="auto" w:sz="10" w:space="0"/>
              <w:insideV w:val="single" w:sz="10" w:space="0"/>
            </w:tcBorders>
            <w:vAlign w:val="center"/>
          </w:tcPr>
          <w:p w14:paraId="449B0388">
            <w:pPr>
              <w:snapToGrid w:val="0"/>
              <w:jc w:val="center"/>
            </w:pPr>
            <w:r>
              <w:rPr>
                <w:rFonts w:ascii="宋体" w:hAnsi="宋体" w:eastAsia="宋体"/>
                <w:sz w:val="16"/>
              </w:rPr>
              <w:t>赋分规则</w:t>
            </w:r>
          </w:p>
        </w:tc>
        <w:tc>
          <w:tcPr>
            <w:tcW w:w="257" w:type="pct"/>
            <w:tcBorders>
              <w:top w:val="single" w:color="auto" w:sz="10" w:space="0"/>
              <w:left w:val="single" w:color="auto" w:sz="10" w:space="0"/>
              <w:bottom w:val="single" w:color="auto" w:sz="10" w:space="0"/>
              <w:right w:val="single" w:color="auto" w:sz="10" w:space="0"/>
              <w:insideV w:val="single" w:sz="10" w:space="0"/>
            </w:tcBorders>
            <w:vAlign w:val="center"/>
          </w:tcPr>
          <w:p w14:paraId="4BA1AD00">
            <w:pPr>
              <w:snapToGrid w:val="0"/>
              <w:jc w:val="center"/>
            </w:pPr>
            <w:r>
              <w:rPr>
                <w:rFonts w:ascii="宋体" w:hAnsi="宋体" w:eastAsia="宋体"/>
                <w:sz w:val="16"/>
              </w:rPr>
              <w:t>佐证资料</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2D78C837">
            <w:pPr>
              <w:snapToGrid w:val="0"/>
              <w:jc w:val="center"/>
            </w:pPr>
            <w:r>
              <w:rPr>
                <w:rFonts w:ascii="宋体" w:hAnsi="宋体" w:eastAsia="宋体"/>
                <w:sz w:val="16"/>
              </w:rPr>
              <w:t>偏差原因分析及改进措施</w:t>
            </w:r>
          </w:p>
        </w:tc>
      </w:tr>
      <w:tr w14:paraId="2D9BB68E">
        <w:tblPrEx>
          <w:tblCellMar>
            <w:top w:w="0" w:type="dxa"/>
            <w:left w:w="108" w:type="dxa"/>
            <w:bottom w:w="0" w:type="dxa"/>
            <w:right w:w="108" w:type="dxa"/>
          </w:tblCellMar>
        </w:tblPrEx>
        <w:trPr>
          <w:trHeight w:val="1267" w:hRule="atLeast"/>
          <w:jc w:val="center"/>
        </w:trPr>
        <w:tc>
          <w:tcPr>
            <w:tcW w:w="337"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5AB6D">
            <w:pPr>
              <w:snapToGrid w:val="0"/>
              <w:jc w:val="center"/>
            </w:pPr>
            <w:r>
              <w:rPr>
                <w:rFonts w:ascii="宋体" w:hAnsi="宋体" w:eastAsia="宋体"/>
                <w:sz w:val="16"/>
              </w:rPr>
              <w:t>年度绩效指标完成情况</w:t>
            </w:r>
          </w:p>
        </w:tc>
        <w:tc>
          <w:tcPr>
            <w:tcW w:w="297"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85B0F">
            <w:pPr>
              <w:snapToGrid w:val="0"/>
              <w:jc w:val="center"/>
            </w:pPr>
            <w:r>
              <w:rPr>
                <w:rFonts w:ascii="宋体" w:hAnsi="宋体" w:eastAsia="宋体"/>
                <w:sz w:val="16"/>
              </w:rPr>
              <w:t>产出指标</w:t>
            </w:r>
          </w:p>
        </w:tc>
        <w:tc>
          <w:tcPr>
            <w:tcW w:w="315"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B4A47">
            <w:pPr>
              <w:snapToGrid w:val="0"/>
              <w:jc w:val="center"/>
            </w:pPr>
            <w:r>
              <w:rPr>
                <w:rFonts w:ascii="宋体" w:hAnsi="宋体" w:eastAsia="宋体"/>
                <w:sz w:val="16"/>
              </w:rPr>
              <w:t>数量指标</w:t>
            </w:r>
          </w:p>
        </w:tc>
        <w:tc>
          <w:tcPr>
            <w:tcW w:w="577" w:type="pct"/>
            <w:tcBorders>
              <w:top w:val="single" w:color="auto" w:sz="10" w:space="0"/>
              <w:left w:val="single" w:color="auto" w:sz="10" w:space="0"/>
              <w:bottom w:val="single" w:color="auto" w:sz="10" w:space="0"/>
              <w:right w:val="single" w:color="auto" w:sz="10" w:space="0"/>
              <w:insideV w:val="single" w:sz="10" w:space="0"/>
            </w:tcBorders>
            <w:vAlign w:val="center"/>
          </w:tcPr>
          <w:p w14:paraId="10E336DD">
            <w:pPr>
              <w:snapToGrid w:val="0"/>
              <w:jc w:val="center"/>
            </w:pPr>
            <w:r>
              <w:rPr>
                <w:rFonts w:ascii="宋体" w:hAnsi="宋体" w:eastAsia="宋体"/>
                <w:sz w:val="16"/>
              </w:rPr>
              <w:t>也什克勒克村新建越冬房户数</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797547BF">
            <w:pPr>
              <w:snapToGrid w:val="0"/>
              <w:jc w:val="center"/>
            </w:pPr>
            <w:r>
              <w:rPr>
                <w:rFonts w:ascii="宋体" w:hAnsi="宋体" w:eastAsia="宋体"/>
                <w:sz w:val="16"/>
              </w:rPr>
              <w:t>5</w:t>
            </w:r>
          </w:p>
        </w:tc>
        <w:tc>
          <w:tcPr>
            <w:tcW w:w="481" w:type="pct"/>
            <w:tcBorders>
              <w:top w:val="single" w:color="auto" w:sz="10" w:space="0"/>
              <w:left w:val="single" w:color="auto" w:sz="10" w:space="0"/>
              <w:bottom w:val="single" w:color="auto" w:sz="10" w:space="0"/>
              <w:right w:val="single" w:color="auto" w:sz="10" w:space="0"/>
              <w:insideV w:val="single" w:sz="10" w:space="0"/>
            </w:tcBorders>
            <w:vAlign w:val="center"/>
          </w:tcPr>
          <w:p w14:paraId="69C47BC9">
            <w:pPr>
              <w:snapToGrid w:val="0"/>
              <w:jc w:val="center"/>
            </w:pPr>
            <w:r>
              <w:rPr>
                <w:rFonts w:ascii="宋体" w:hAnsi="宋体" w:eastAsia="宋体"/>
                <w:sz w:val="16"/>
              </w:rPr>
              <w:t>&gt;=32户</w:t>
            </w:r>
          </w:p>
        </w:tc>
        <w:tc>
          <w:tcPr>
            <w:tcW w:w="434" w:type="pct"/>
            <w:tcBorders>
              <w:top w:val="single" w:color="auto" w:sz="10" w:space="0"/>
              <w:left w:val="single" w:color="auto" w:sz="10" w:space="0"/>
              <w:bottom w:val="single" w:color="auto" w:sz="10" w:space="0"/>
              <w:right w:val="single" w:color="auto" w:sz="10" w:space="0"/>
              <w:insideV w:val="single" w:sz="10" w:space="0"/>
            </w:tcBorders>
            <w:vAlign w:val="center"/>
          </w:tcPr>
          <w:p w14:paraId="0BDAB6B3">
            <w:pPr>
              <w:snapToGrid w:val="0"/>
              <w:jc w:val="center"/>
            </w:pPr>
            <w:r>
              <w:rPr>
                <w:rFonts w:ascii="宋体" w:hAnsi="宋体" w:eastAsia="宋体"/>
                <w:sz w:val="16"/>
              </w:rPr>
              <w:t>32户</w:t>
            </w:r>
          </w:p>
        </w:tc>
        <w:tc>
          <w:tcPr>
            <w:tcW w:w="351" w:type="pct"/>
            <w:tcBorders>
              <w:top w:val="single" w:color="auto" w:sz="10" w:space="0"/>
              <w:left w:val="single" w:color="auto" w:sz="10" w:space="0"/>
              <w:bottom w:val="single" w:color="auto" w:sz="10" w:space="0"/>
              <w:right w:val="single" w:color="auto" w:sz="10" w:space="0"/>
              <w:insideV w:val="single" w:sz="10" w:space="0"/>
            </w:tcBorders>
            <w:vAlign w:val="center"/>
          </w:tcPr>
          <w:p w14:paraId="148BA158">
            <w:pPr>
              <w:snapToGrid w:val="0"/>
              <w:jc w:val="center"/>
            </w:pPr>
            <w:r>
              <w:rPr>
                <w:rFonts w:ascii="宋体" w:hAnsi="宋体" w:eastAsia="宋体"/>
                <w:sz w:val="16"/>
              </w:rPr>
              <w:t>100%</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170819BD">
            <w:pPr>
              <w:snapToGrid w:val="0"/>
              <w:jc w:val="center"/>
            </w:pPr>
            <w:r>
              <w:rPr>
                <w:rFonts w:ascii="宋体" w:hAnsi="宋体" w:eastAsia="宋体"/>
                <w:sz w:val="16"/>
              </w:rPr>
              <w:t>5</w:t>
            </w:r>
          </w:p>
        </w:tc>
        <w:tc>
          <w:tcPr>
            <w:tcW w:w="282" w:type="pct"/>
            <w:tcBorders>
              <w:top w:val="single" w:color="auto" w:sz="10" w:space="0"/>
              <w:left w:val="single" w:color="auto" w:sz="10" w:space="0"/>
              <w:bottom w:val="single" w:color="auto" w:sz="10" w:space="0"/>
              <w:right w:val="single" w:color="auto" w:sz="10" w:space="0"/>
              <w:insideV w:val="single" w:sz="10" w:space="0"/>
            </w:tcBorders>
            <w:vAlign w:val="center"/>
          </w:tcPr>
          <w:p w14:paraId="5517E4E9">
            <w:pPr>
              <w:snapToGrid w:val="0"/>
              <w:jc w:val="center"/>
            </w:pPr>
            <w:r>
              <w:rPr>
                <w:rFonts w:ascii="宋体" w:hAnsi="宋体" w:eastAsia="宋体"/>
                <w:sz w:val="16"/>
              </w:rPr>
              <w:t>计划标准</w:t>
            </w:r>
          </w:p>
        </w:tc>
        <w:tc>
          <w:tcPr>
            <w:tcW w:w="273" w:type="pct"/>
            <w:tcBorders>
              <w:top w:val="single" w:color="auto" w:sz="10" w:space="0"/>
              <w:left w:val="single" w:color="auto" w:sz="10" w:space="0"/>
              <w:bottom w:val="single" w:color="auto" w:sz="10" w:space="0"/>
              <w:right w:val="single" w:color="auto" w:sz="10" w:space="0"/>
              <w:insideV w:val="single" w:sz="10" w:space="0"/>
            </w:tcBorders>
            <w:vAlign w:val="center"/>
          </w:tcPr>
          <w:p w14:paraId="1A67ED45">
            <w:pPr>
              <w:snapToGrid w:val="0"/>
              <w:jc w:val="center"/>
            </w:pPr>
            <w:r>
              <w:rPr>
                <w:rFonts w:ascii="宋体" w:hAnsi="宋体" w:eastAsia="宋体"/>
                <w:sz w:val="16"/>
              </w:rPr>
              <w:t>-</w:t>
            </w:r>
          </w:p>
        </w:tc>
        <w:tc>
          <w:tcPr>
            <w:tcW w:w="301" w:type="pct"/>
            <w:tcBorders>
              <w:top w:val="single" w:color="auto" w:sz="10" w:space="0"/>
              <w:left w:val="single" w:color="auto" w:sz="10" w:space="0"/>
              <w:bottom w:val="single" w:color="auto" w:sz="10" w:space="0"/>
              <w:right w:val="single" w:color="auto" w:sz="10" w:space="0"/>
              <w:insideV w:val="single" w:sz="10" w:space="0"/>
            </w:tcBorders>
            <w:vAlign w:val="center"/>
          </w:tcPr>
          <w:p w14:paraId="4F06AD6E">
            <w:pPr>
              <w:snapToGrid w:val="0"/>
              <w:jc w:val="center"/>
            </w:pPr>
            <w:r>
              <w:rPr>
                <w:rFonts w:ascii="宋体" w:hAnsi="宋体" w:eastAsia="宋体"/>
                <w:sz w:val="16"/>
              </w:rPr>
              <w:t>按照完成比例赋分</w:t>
            </w:r>
          </w:p>
        </w:tc>
        <w:tc>
          <w:tcPr>
            <w:tcW w:w="257" w:type="pct"/>
            <w:tcBorders>
              <w:top w:val="single" w:color="auto" w:sz="10" w:space="0"/>
              <w:left w:val="single" w:color="auto" w:sz="10" w:space="0"/>
              <w:bottom w:val="single" w:color="auto" w:sz="10" w:space="0"/>
              <w:right w:val="single" w:color="auto" w:sz="10" w:space="0"/>
              <w:insideV w:val="single" w:sz="10" w:space="0"/>
            </w:tcBorders>
            <w:vAlign w:val="center"/>
          </w:tcPr>
          <w:p w14:paraId="1767BDF5">
            <w:pPr>
              <w:snapToGrid w:val="0"/>
              <w:jc w:val="center"/>
            </w:pPr>
            <w:r>
              <w:rPr>
                <w:rFonts w:ascii="宋体" w:hAnsi="宋体" w:eastAsia="宋体"/>
                <w:sz w:val="16"/>
              </w:rPr>
              <w:t>工作资料</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1681335B">
            <w:pPr>
              <w:snapToGrid w:val="0"/>
              <w:jc w:val="center"/>
            </w:pPr>
          </w:p>
        </w:tc>
      </w:tr>
      <w:tr w14:paraId="48C77775">
        <w:tblPrEx>
          <w:tblCellMar>
            <w:top w:w="0" w:type="dxa"/>
            <w:left w:w="108" w:type="dxa"/>
            <w:bottom w:w="0" w:type="dxa"/>
            <w:right w:w="108" w:type="dxa"/>
          </w:tblCellMar>
        </w:tblPrEx>
        <w:trPr>
          <w:trHeight w:val="1267"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001C9F80">
            <w:pPr>
              <w:snapToGrid w:val="0"/>
            </w:pPr>
          </w:p>
        </w:tc>
        <w:tc>
          <w:tcPr>
            <w:tcW w:w="297" w:type="pct"/>
            <w:vMerge w:val="continue"/>
            <w:tcBorders>
              <w:top w:val="single" w:color="auto" w:sz="10" w:space="0"/>
              <w:left w:val="single" w:color="auto" w:sz="10" w:space="0"/>
              <w:bottom w:val="single" w:color="auto" w:sz="10" w:space="0"/>
              <w:right w:val="single" w:color="auto" w:sz="10" w:space="0"/>
              <w:insideV w:val="single" w:sz="10" w:space="0"/>
            </w:tcBorders>
          </w:tcPr>
          <w:p w14:paraId="472BE340">
            <w:pPr>
              <w:snapToGrid w:val="0"/>
            </w:pPr>
          </w:p>
        </w:tc>
        <w:tc>
          <w:tcPr>
            <w:tcW w:w="315" w:type="pct"/>
            <w:vMerge w:val="continue"/>
            <w:tcBorders>
              <w:top w:val="single" w:color="auto" w:sz="10" w:space="0"/>
              <w:left w:val="single" w:color="auto" w:sz="10" w:space="0"/>
              <w:bottom w:val="single" w:color="auto" w:sz="10" w:space="0"/>
              <w:right w:val="single" w:color="auto" w:sz="10" w:space="0"/>
              <w:insideV w:val="single" w:sz="10" w:space="0"/>
            </w:tcBorders>
          </w:tcPr>
          <w:p w14:paraId="5568B41E">
            <w:pPr>
              <w:snapToGrid w:val="0"/>
            </w:pPr>
          </w:p>
        </w:tc>
        <w:tc>
          <w:tcPr>
            <w:tcW w:w="577" w:type="pct"/>
            <w:tcBorders>
              <w:top w:val="single" w:color="auto" w:sz="10" w:space="0"/>
              <w:left w:val="single" w:color="auto" w:sz="10" w:space="0"/>
              <w:bottom w:val="single" w:color="auto" w:sz="10" w:space="0"/>
              <w:right w:val="single" w:color="auto" w:sz="10" w:space="0"/>
              <w:insideV w:val="single" w:sz="10" w:space="0"/>
            </w:tcBorders>
            <w:vAlign w:val="center"/>
          </w:tcPr>
          <w:p w14:paraId="339DB449">
            <w:pPr>
              <w:snapToGrid w:val="0"/>
              <w:jc w:val="center"/>
            </w:pPr>
            <w:r>
              <w:rPr>
                <w:rFonts w:ascii="宋体" w:hAnsi="宋体" w:eastAsia="宋体"/>
                <w:sz w:val="16"/>
              </w:rPr>
              <w:t>柯尔干布拉克村新建越冬房户数</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7D3C6F02">
            <w:pPr>
              <w:snapToGrid w:val="0"/>
              <w:jc w:val="center"/>
            </w:pPr>
            <w:r>
              <w:rPr>
                <w:rFonts w:ascii="宋体" w:hAnsi="宋体" w:eastAsia="宋体"/>
                <w:sz w:val="16"/>
              </w:rPr>
              <w:t>5</w:t>
            </w:r>
          </w:p>
        </w:tc>
        <w:tc>
          <w:tcPr>
            <w:tcW w:w="481" w:type="pct"/>
            <w:tcBorders>
              <w:top w:val="single" w:color="auto" w:sz="10" w:space="0"/>
              <w:left w:val="single" w:color="auto" w:sz="10" w:space="0"/>
              <w:bottom w:val="single" w:color="auto" w:sz="10" w:space="0"/>
              <w:right w:val="single" w:color="auto" w:sz="10" w:space="0"/>
              <w:insideV w:val="single" w:sz="10" w:space="0"/>
            </w:tcBorders>
            <w:vAlign w:val="center"/>
          </w:tcPr>
          <w:p w14:paraId="73988FD3">
            <w:pPr>
              <w:snapToGrid w:val="0"/>
              <w:jc w:val="center"/>
            </w:pPr>
            <w:r>
              <w:rPr>
                <w:rFonts w:ascii="宋体" w:hAnsi="宋体" w:eastAsia="宋体"/>
                <w:sz w:val="16"/>
              </w:rPr>
              <w:t>&gt;=25户</w:t>
            </w:r>
          </w:p>
        </w:tc>
        <w:tc>
          <w:tcPr>
            <w:tcW w:w="434" w:type="pct"/>
            <w:tcBorders>
              <w:top w:val="single" w:color="auto" w:sz="10" w:space="0"/>
              <w:left w:val="single" w:color="auto" w:sz="10" w:space="0"/>
              <w:bottom w:val="single" w:color="auto" w:sz="10" w:space="0"/>
              <w:right w:val="single" w:color="auto" w:sz="10" w:space="0"/>
              <w:insideV w:val="single" w:sz="10" w:space="0"/>
            </w:tcBorders>
            <w:vAlign w:val="center"/>
          </w:tcPr>
          <w:p w14:paraId="58A41B23">
            <w:pPr>
              <w:snapToGrid w:val="0"/>
              <w:jc w:val="center"/>
            </w:pPr>
            <w:r>
              <w:rPr>
                <w:rFonts w:ascii="宋体" w:hAnsi="宋体" w:eastAsia="宋体"/>
                <w:sz w:val="16"/>
              </w:rPr>
              <w:t>25户</w:t>
            </w:r>
          </w:p>
        </w:tc>
        <w:tc>
          <w:tcPr>
            <w:tcW w:w="351" w:type="pct"/>
            <w:tcBorders>
              <w:top w:val="single" w:color="auto" w:sz="10" w:space="0"/>
              <w:left w:val="single" w:color="auto" w:sz="10" w:space="0"/>
              <w:bottom w:val="single" w:color="auto" w:sz="10" w:space="0"/>
              <w:right w:val="single" w:color="auto" w:sz="10" w:space="0"/>
              <w:insideV w:val="single" w:sz="10" w:space="0"/>
            </w:tcBorders>
            <w:vAlign w:val="center"/>
          </w:tcPr>
          <w:p w14:paraId="234DFCAB">
            <w:pPr>
              <w:snapToGrid w:val="0"/>
              <w:jc w:val="center"/>
            </w:pPr>
            <w:r>
              <w:rPr>
                <w:rFonts w:ascii="宋体" w:hAnsi="宋体" w:eastAsia="宋体"/>
                <w:sz w:val="16"/>
              </w:rPr>
              <w:t>100%</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5BA44F43">
            <w:pPr>
              <w:snapToGrid w:val="0"/>
              <w:jc w:val="center"/>
            </w:pPr>
            <w:r>
              <w:rPr>
                <w:rFonts w:ascii="宋体" w:hAnsi="宋体" w:eastAsia="宋体"/>
                <w:sz w:val="16"/>
              </w:rPr>
              <w:t>5</w:t>
            </w:r>
          </w:p>
        </w:tc>
        <w:tc>
          <w:tcPr>
            <w:tcW w:w="282" w:type="pct"/>
            <w:tcBorders>
              <w:top w:val="single" w:color="auto" w:sz="10" w:space="0"/>
              <w:left w:val="single" w:color="auto" w:sz="10" w:space="0"/>
              <w:bottom w:val="single" w:color="auto" w:sz="10" w:space="0"/>
              <w:right w:val="single" w:color="auto" w:sz="10" w:space="0"/>
              <w:insideV w:val="single" w:sz="10" w:space="0"/>
            </w:tcBorders>
            <w:vAlign w:val="center"/>
          </w:tcPr>
          <w:p w14:paraId="45B37FD4">
            <w:pPr>
              <w:snapToGrid w:val="0"/>
              <w:jc w:val="center"/>
            </w:pPr>
            <w:r>
              <w:rPr>
                <w:rFonts w:ascii="宋体" w:hAnsi="宋体" w:eastAsia="宋体"/>
                <w:sz w:val="16"/>
              </w:rPr>
              <w:t>计划标准</w:t>
            </w:r>
          </w:p>
        </w:tc>
        <w:tc>
          <w:tcPr>
            <w:tcW w:w="273" w:type="pct"/>
            <w:tcBorders>
              <w:top w:val="single" w:color="auto" w:sz="10" w:space="0"/>
              <w:left w:val="single" w:color="auto" w:sz="10" w:space="0"/>
              <w:bottom w:val="single" w:color="auto" w:sz="10" w:space="0"/>
              <w:right w:val="single" w:color="auto" w:sz="10" w:space="0"/>
              <w:insideV w:val="single" w:sz="10" w:space="0"/>
            </w:tcBorders>
            <w:vAlign w:val="center"/>
          </w:tcPr>
          <w:p w14:paraId="401378B2">
            <w:pPr>
              <w:snapToGrid w:val="0"/>
              <w:jc w:val="center"/>
            </w:pPr>
            <w:r>
              <w:rPr>
                <w:rFonts w:ascii="宋体" w:hAnsi="宋体" w:eastAsia="宋体"/>
                <w:sz w:val="16"/>
              </w:rPr>
              <w:t>-</w:t>
            </w:r>
          </w:p>
        </w:tc>
        <w:tc>
          <w:tcPr>
            <w:tcW w:w="301" w:type="pct"/>
            <w:tcBorders>
              <w:top w:val="single" w:color="auto" w:sz="10" w:space="0"/>
              <w:left w:val="single" w:color="auto" w:sz="10" w:space="0"/>
              <w:bottom w:val="single" w:color="auto" w:sz="10" w:space="0"/>
              <w:right w:val="single" w:color="auto" w:sz="10" w:space="0"/>
              <w:insideV w:val="single" w:sz="10" w:space="0"/>
            </w:tcBorders>
            <w:vAlign w:val="center"/>
          </w:tcPr>
          <w:p w14:paraId="1A8E7B91">
            <w:pPr>
              <w:snapToGrid w:val="0"/>
              <w:jc w:val="center"/>
            </w:pPr>
            <w:r>
              <w:rPr>
                <w:rFonts w:ascii="宋体" w:hAnsi="宋体" w:eastAsia="宋体"/>
                <w:sz w:val="16"/>
              </w:rPr>
              <w:t>按照完成比例赋分</w:t>
            </w:r>
          </w:p>
        </w:tc>
        <w:tc>
          <w:tcPr>
            <w:tcW w:w="257" w:type="pct"/>
            <w:tcBorders>
              <w:top w:val="single" w:color="auto" w:sz="10" w:space="0"/>
              <w:left w:val="single" w:color="auto" w:sz="10" w:space="0"/>
              <w:bottom w:val="single" w:color="auto" w:sz="10" w:space="0"/>
              <w:right w:val="single" w:color="auto" w:sz="10" w:space="0"/>
              <w:insideV w:val="single" w:sz="10" w:space="0"/>
            </w:tcBorders>
            <w:vAlign w:val="center"/>
          </w:tcPr>
          <w:p w14:paraId="7284E461">
            <w:pPr>
              <w:snapToGrid w:val="0"/>
              <w:jc w:val="center"/>
            </w:pPr>
            <w:r>
              <w:rPr>
                <w:rFonts w:ascii="宋体" w:hAnsi="宋体" w:eastAsia="宋体"/>
                <w:sz w:val="16"/>
              </w:rPr>
              <w:t>工作资料</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45A8DD25">
            <w:pPr>
              <w:snapToGrid w:val="0"/>
              <w:jc w:val="center"/>
            </w:pPr>
          </w:p>
        </w:tc>
      </w:tr>
      <w:tr w14:paraId="326FE2F1">
        <w:tblPrEx>
          <w:tblCellMar>
            <w:top w:w="0" w:type="dxa"/>
            <w:left w:w="108" w:type="dxa"/>
            <w:bottom w:w="0" w:type="dxa"/>
            <w:right w:w="108" w:type="dxa"/>
          </w:tblCellMar>
        </w:tblPrEx>
        <w:trPr>
          <w:trHeight w:val="1267"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5EC346ED">
            <w:pPr>
              <w:snapToGrid w:val="0"/>
            </w:pPr>
          </w:p>
        </w:tc>
        <w:tc>
          <w:tcPr>
            <w:tcW w:w="297" w:type="pct"/>
            <w:vMerge w:val="continue"/>
            <w:tcBorders>
              <w:top w:val="single" w:color="auto" w:sz="10" w:space="0"/>
              <w:left w:val="single" w:color="auto" w:sz="10" w:space="0"/>
              <w:bottom w:val="single" w:color="auto" w:sz="10" w:space="0"/>
              <w:right w:val="single" w:color="auto" w:sz="10" w:space="0"/>
              <w:insideV w:val="single" w:sz="10" w:space="0"/>
            </w:tcBorders>
          </w:tcPr>
          <w:p w14:paraId="7E747A4D">
            <w:pPr>
              <w:snapToGrid w:val="0"/>
            </w:pPr>
          </w:p>
        </w:tc>
        <w:tc>
          <w:tcPr>
            <w:tcW w:w="315" w:type="pct"/>
            <w:vMerge w:val="continue"/>
            <w:tcBorders>
              <w:top w:val="single" w:color="auto" w:sz="10" w:space="0"/>
              <w:left w:val="single" w:color="auto" w:sz="10" w:space="0"/>
              <w:bottom w:val="single" w:color="auto" w:sz="10" w:space="0"/>
              <w:right w:val="single" w:color="auto" w:sz="10" w:space="0"/>
              <w:insideV w:val="single" w:sz="10" w:space="0"/>
            </w:tcBorders>
          </w:tcPr>
          <w:p w14:paraId="239FC591">
            <w:pPr>
              <w:snapToGrid w:val="0"/>
            </w:pPr>
          </w:p>
        </w:tc>
        <w:tc>
          <w:tcPr>
            <w:tcW w:w="577" w:type="pct"/>
            <w:tcBorders>
              <w:top w:val="single" w:color="auto" w:sz="10" w:space="0"/>
              <w:left w:val="single" w:color="auto" w:sz="10" w:space="0"/>
              <w:bottom w:val="single" w:color="auto" w:sz="10" w:space="0"/>
              <w:right w:val="single" w:color="auto" w:sz="10" w:space="0"/>
              <w:insideV w:val="single" w:sz="10" w:space="0"/>
            </w:tcBorders>
            <w:vAlign w:val="center"/>
          </w:tcPr>
          <w:p w14:paraId="131098D4">
            <w:pPr>
              <w:snapToGrid w:val="0"/>
              <w:jc w:val="center"/>
            </w:pPr>
            <w:r>
              <w:rPr>
                <w:rFonts w:ascii="宋体" w:hAnsi="宋体" w:eastAsia="宋体"/>
                <w:sz w:val="16"/>
              </w:rPr>
              <w:t>阿克托海村新建越冬房户数</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6EDF7A44">
            <w:pPr>
              <w:snapToGrid w:val="0"/>
              <w:jc w:val="center"/>
            </w:pPr>
            <w:r>
              <w:rPr>
                <w:rFonts w:ascii="宋体" w:hAnsi="宋体" w:eastAsia="宋体"/>
                <w:sz w:val="16"/>
              </w:rPr>
              <w:t>5</w:t>
            </w:r>
          </w:p>
        </w:tc>
        <w:tc>
          <w:tcPr>
            <w:tcW w:w="481" w:type="pct"/>
            <w:tcBorders>
              <w:top w:val="single" w:color="auto" w:sz="10" w:space="0"/>
              <w:left w:val="single" w:color="auto" w:sz="10" w:space="0"/>
              <w:bottom w:val="single" w:color="auto" w:sz="10" w:space="0"/>
              <w:right w:val="single" w:color="auto" w:sz="10" w:space="0"/>
              <w:insideV w:val="single" w:sz="10" w:space="0"/>
            </w:tcBorders>
            <w:vAlign w:val="center"/>
          </w:tcPr>
          <w:p w14:paraId="31CB959D">
            <w:pPr>
              <w:snapToGrid w:val="0"/>
              <w:jc w:val="center"/>
            </w:pPr>
            <w:r>
              <w:rPr>
                <w:rFonts w:ascii="宋体" w:hAnsi="宋体" w:eastAsia="宋体"/>
                <w:sz w:val="16"/>
              </w:rPr>
              <w:t>&gt;=79户</w:t>
            </w:r>
          </w:p>
        </w:tc>
        <w:tc>
          <w:tcPr>
            <w:tcW w:w="434" w:type="pct"/>
            <w:tcBorders>
              <w:top w:val="single" w:color="auto" w:sz="10" w:space="0"/>
              <w:left w:val="single" w:color="auto" w:sz="10" w:space="0"/>
              <w:bottom w:val="single" w:color="auto" w:sz="10" w:space="0"/>
              <w:right w:val="single" w:color="auto" w:sz="10" w:space="0"/>
              <w:insideV w:val="single" w:sz="10" w:space="0"/>
            </w:tcBorders>
            <w:vAlign w:val="center"/>
          </w:tcPr>
          <w:p w14:paraId="4A9DE795">
            <w:pPr>
              <w:snapToGrid w:val="0"/>
              <w:jc w:val="center"/>
            </w:pPr>
            <w:r>
              <w:rPr>
                <w:rFonts w:ascii="宋体" w:hAnsi="宋体" w:eastAsia="宋体"/>
                <w:sz w:val="16"/>
              </w:rPr>
              <w:t>79户</w:t>
            </w:r>
          </w:p>
        </w:tc>
        <w:tc>
          <w:tcPr>
            <w:tcW w:w="351" w:type="pct"/>
            <w:tcBorders>
              <w:top w:val="single" w:color="auto" w:sz="10" w:space="0"/>
              <w:left w:val="single" w:color="auto" w:sz="10" w:space="0"/>
              <w:bottom w:val="single" w:color="auto" w:sz="10" w:space="0"/>
              <w:right w:val="single" w:color="auto" w:sz="10" w:space="0"/>
              <w:insideV w:val="single" w:sz="10" w:space="0"/>
            </w:tcBorders>
            <w:vAlign w:val="center"/>
          </w:tcPr>
          <w:p w14:paraId="288E0228">
            <w:pPr>
              <w:snapToGrid w:val="0"/>
              <w:jc w:val="center"/>
            </w:pPr>
            <w:r>
              <w:rPr>
                <w:rFonts w:ascii="宋体" w:hAnsi="宋体" w:eastAsia="宋体"/>
                <w:sz w:val="16"/>
              </w:rPr>
              <w:t>100%</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4D127A2E">
            <w:pPr>
              <w:snapToGrid w:val="0"/>
              <w:jc w:val="center"/>
            </w:pPr>
            <w:r>
              <w:rPr>
                <w:rFonts w:ascii="宋体" w:hAnsi="宋体" w:eastAsia="宋体"/>
                <w:sz w:val="16"/>
              </w:rPr>
              <w:t>5</w:t>
            </w:r>
          </w:p>
        </w:tc>
        <w:tc>
          <w:tcPr>
            <w:tcW w:w="282" w:type="pct"/>
            <w:tcBorders>
              <w:top w:val="single" w:color="auto" w:sz="10" w:space="0"/>
              <w:left w:val="single" w:color="auto" w:sz="10" w:space="0"/>
              <w:bottom w:val="single" w:color="auto" w:sz="10" w:space="0"/>
              <w:right w:val="single" w:color="auto" w:sz="10" w:space="0"/>
              <w:insideV w:val="single" w:sz="10" w:space="0"/>
            </w:tcBorders>
            <w:vAlign w:val="center"/>
          </w:tcPr>
          <w:p w14:paraId="307AB517">
            <w:pPr>
              <w:snapToGrid w:val="0"/>
              <w:jc w:val="center"/>
            </w:pPr>
            <w:r>
              <w:rPr>
                <w:rFonts w:ascii="宋体" w:hAnsi="宋体" w:eastAsia="宋体"/>
                <w:sz w:val="16"/>
              </w:rPr>
              <w:t>计划标准</w:t>
            </w:r>
          </w:p>
        </w:tc>
        <w:tc>
          <w:tcPr>
            <w:tcW w:w="273" w:type="pct"/>
            <w:tcBorders>
              <w:top w:val="single" w:color="auto" w:sz="10" w:space="0"/>
              <w:left w:val="single" w:color="auto" w:sz="10" w:space="0"/>
              <w:bottom w:val="single" w:color="auto" w:sz="10" w:space="0"/>
              <w:right w:val="single" w:color="auto" w:sz="10" w:space="0"/>
              <w:insideV w:val="single" w:sz="10" w:space="0"/>
            </w:tcBorders>
            <w:vAlign w:val="center"/>
          </w:tcPr>
          <w:p w14:paraId="73787ED0">
            <w:pPr>
              <w:snapToGrid w:val="0"/>
              <w:jc w:val="center"/>
            </w:pPr>
            <w:r>
              <w:rPr>
                <w:rFonts w:ascii="宋体" w:hAnsi="宋体" w:eastAsia="宋体"/>
                <w:sz w:val="16"/>
              </w:rPr>
              <w:t>-</w:t>
            </w:r>
          </w:p>
        </w:tc>
        <w:tc>
          <w:tcPr>
            <w:tcW w:w="301" w:type="pct"/>
            <w:tcBorders>
              <w:top w:val="single" w:color="auto" w:sz="10" w:space="0"/>
              <w:left w:val="single" w:color="auto" w:sz="10" w:space="0"/>
              <w:bottom w:val="single" w:color="auto" w:sz="10" w:space="0"/>
              <w:right w:val="single" w:color="auto" w:sz="10" w:space="0"/>
              <w:insideV w:val="single" w:sz="10" w:space="0"/>
            </w:tcBorders>
            <w:vAlign w:val="center"/>
          </w:tcPr>
          <w:p w14:paraId="7152821D">
            <w:pPr>
              <w:snapToGrid w:val="0"/>
              <w:jc w:val="center"/>
            </w:pPr>
            <w:r>
              <w:rPr>
                <w:rFonts w:ascii="宋体" w:hAnsi="宋体" w:eastAsia="宋体"/>
                <w:sz w:val="16"/>
              </w:rPr>
              <w:t>按照完成比例赋分</w:t>
            </w:r>
          </w:p>
        </w:tc>
        <w:tc>
          <w:tcPr>
            <w:tcW w:w="257" w:type="pct"/>
            <w:tcBorders>
              <w:top w:val="single" w:color="auto" w:sz="10" w:space="0"/>
              <w:left w:val="single" w:color="auto" w:sz="10" w:space="0"/>
              <w:bottom w:val="single" w:color="auto" w:sz="10" w:space="0"/>
              <w:right w:val="single" w:color="auto" w:sz="10" w:space="0"/>
              <w:insideV w:val="single" w:sz="10" w:space="0"/>
            </w:tcBorders>
            <w:vAlign w:val="center"/>
          </w:tcPr>
          <w:p w14:paraId="717E046A">
            <w:pPr>
              <w:snapToGrid w:val="0"/>
              <w:jc w:val="center"/>
            </w:pPr>
            <w:r>
              <w:rPr>
                <w:rFonts w:ascii="宋体" w:hAnsi="宋体" w:eastAsia="宋体"/>
                <w:sz w:val="16"/>
              </w:rPr>
              <w:t>工作资料</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428A6FE1">
            <w:pPr>
              <w:snapToGrid w:val="0"/>
              <w:jc w:val="center"/>
            </w:pPr>
          </w:p>
        </w:tc>
      </w:tr>
      <w:tr w14:paraId="5425C9CE">
        <w:tblPrEx>
          <w:tblCellMar>
            <w:top w:w="0" w:type="dxa"/>
            <w:left w:w="108" w:type="dxa"/>
            <w:bottom w:w="0" w:type="dxa"/>
            <w:right w:w="108" w:type="dxa"/>
          </w:tblCellMar>
        </w:tblPrEx>
        <w:trPr>
          <w:trHeight w:val="1267"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6D491B0C">
            <w:pPr>
              <w:snapToGrid w:val="0"/>
            </w:pPr>
          </w:p>
        </w:tc>
        <w:tc>
          <w:tcPr>
            <w:tcW w:w="297" w:type="pct"/>
            <w:vMerge w:val="continue"/>
            <w:tcBorders>
              <w:top w:val="single" w:color="auto" w:sz="10" w:space="0"/>
              <w:left w:val="single" w:color="auto" w:sz="10" w:space="0"/>
              <w:bottom w:val="single" w:color="auto" w:sz="10" w:space="0"/>
              <w:right w:val="single" w:color="auto" w:sz="10" w:space="0"/>
              <w:insideV w:val="single" w:sz="10" w:space="0"/>
            </w:tcBorders>
          </w:tcPr>
          <w:p w14:paraId="0C27B7C7">
            <w:pPr>
              <w:snapToGrid w:val="0"/>
            </w:pPr>
          </w:p>
        </w:tc>
        <w:tc>
          <w:tcPr>
            <w:tcW w:w="315" w:type="pct"/>
            <w:vMerge w:val="continue"/>
            <w:tcBorders>
              <w:top w:val="single" w:color="auto" w:sz="10" w:space="0"/>
              <w:left w:val="single" w:color="auto" w:sz="10" w:space="0"/>
              <w:bottom w:val="single" w:color="auto" w:sz="10" w:space="0"/>
              <w:right w:val="single" w:color="auto" w:sz="10" w:space="0"/>
              <w:insideV w:val="single" w:sz="10" w:space="0"/>
            </w:tcBorders>
          </w:tcPr>
          <w:p w14:paraId="3D403197">
            <w:pPr>
              <w:snapToGrid w:val="0"/>
            </w:pPr>
          </w:p>
        </w:tc>
        <w:tc>
          <w:tcPr>
            <w:tcW w:w="577" w:type="pct"/>
            <w:tcBorders>
              <w:top w:val="single" w:color="auto" w:sz="10" w:space="0"/>
              <w:left w:val="single" w:color="auto" w:sz="10" w:space="0"/>
              <w:bottom w:val="single" w:color="auto" w:sz="10" w:space="0"/>
              <w:right w:val="single" w:color="auto" w:sz="10" w:space="0"/>
              <w:insideV w:val="single" w:sz="10" w:space="0"/>
            </w:tcBorders>
            <w:vAlign w:val="center"/>
          </w:tcPr>
          <w:p w14:paraId="7F56A6BF">
            <w:pPr>
              <w:snapToGrid w:val="0"/>
              <w:jc w:val="center"/>
            </w:pPr>
            <w:r>
              <w:rPr>
                <w:rFonts w:ascii="宋体" w:hAnsi="宋体" w:eastAsia="宋体"/>
                <w:sz w:val="16"/>
              </w:rPr>
              <w:t>达根别勒村新建越冬房户数</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044AB345">
            <w:pPr>
              <w:snapToGrid w:val="0"/>
              <w:jc w:val="center"/>
            </w:pPr>
            <w:r>
              <w:rPr>
                <w:rFonts w:ascii="宋体" w:hAnsi="宋体" w:eastAsia="宋体"/>
                <w:sz w:val="16"/>
              </w:rPr>
              <w:t>5</w:t>
            </w:r>
          </w:p>
        </w:tc>
        <w:tc>
          <w:tcPr>
            <w:tcW w:w="481" w:type="pct"/>
            <w:tcBorders>
              <w:top w:val="single" w:color="auto" w:sz="10" w:space="0"/>
              <w:left w:val="single" w:color="auto" w:sz="10" w:space="0"/>
              <w:bottom w:val="single" w:color="auto" w:sz="10" w:space="0"/>
              <w:right w:val="single" w:color="auto" w:sz="10" w:space="0"/>
              <w:insideV w:val="single" w:sz="10" w:space="0"/>
            </w:tcBorders>
            <w:vAlign w:val="center"/>
          </w:tcPr>
          <w:p w14:paraId="1BDC5928">
            <w:pPr>
              <w:snapToGrid w:val="0"/>
              <w:jc w:val="center"/>
            </w:pPr>
            <w:r>
              <w:rPr>
                <w:rFonts w:ascii="宋体" w:hAnsi="宋体" w:eastAsia="宋体"/>
                <w:sz w:val="16"/>
              </w:rPr>
              <w:t>&gt;=163户</w:t>
            </w:r>
          </w:p>
        </w:tc>
        <w:tc>
          <w:tcPr>
            <w:tcW w:w="434" w:type="pct"/>
            <w:tcBorders>
              <w:top w:val="single" w:color="auto" w:sz="10" w:space="0"/>
              <w:left w:val="single" w:color="auto" w:sz="10" w:space="0"/>
              <w:bottom w:val="single" w:color="auto" w:sz="10" w:space="0"/>
              <w:right w:val="single" w:color="auto" w:sz="10" w:space="0"/>
              <w:insideV w:val="single" w:sz="10" w:space="0"/>
            </w:tcBorders>
            <w:vAlign w:val="center"/>
          </w:tcPr>
          <w:p w14:paraId="7BC1EA52">
            <w:pPr>
              <w:snapToGrid w:val="0"/>
              <w:jc w:val="center"/>
            </w:pPr>
            <w:r>
              <w:rPr>
                <w:rFonts w:ascii="宋体" w:hAnsi="宋体" w:eastAsia="宋体"/>
                <w:sz w:val="16"/>
              </w:rPr>
              <w:t>163户</w:t>
            </w:r>
          </w:p>
        </w:tc>
        <w:tc>
          <w:tcPr>
            <w:tcW w:w="351" w:type="pct"/>
            <w:tcBorders>
              <w:top w:val="single" w:color="auto" w:sz="10" w:space="0"/>
              <w:left w:val="single" w:color="auto" w:sz="10" w:space="0"/>
              <w:bottom w:val="single" w:color="auto" w:sz="10" w:space="0"/>
              <w:right w:val="single" w:color="auto" w:sz="10" w:space="0"/>
              <w:insideV w:val="single" w:sz="10" w:space="0"/>
            </w:tcBorders>
            <w:vAlign w:val="center"/>
          </w:tcPr>
          <w:p w14:paraId="52201901">
            <w:pPr>
              <w:snapToGrid w:val="0"/>
              <w:jc w:val="center"/>
            </w:pPr>
            <w:r>
              <w:rPr>
                <w:rFonts w:ascii="宋体" w:hAnsi="宋体" w:eastAsia="宋体"/>
                <w:sz w:val="16"/>
              </w:rPr>
              <w:t>100%</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23DEB052">
            <w:pPr>
              <w:snapToGrid w:val="0"/>
              <w:jc w:val="center"/>
            </w:pPr>
            <w:r>
              <w:rPr>
                <w:rFonts w:ascii="宋体" w:hAnsi="宋体" w:eastAsia="宋体"/>
                <w:sz w:val="16"/>
              </w:rPr>
              <w:t>5</w:t>
            </w:r>
          </w:p>
        </w:tc>
        <w:tc>
          <w:tcPr>
            <w:tcW w:w="282" w:type="pct"/>
            <w:tcBorders>
              <w:top w:val="single" w:color="auto" w:sz="10" w:space="0"/>
              <w:left w:val="single" w:color="auto" w:sz="10" w:space="0"/>
              <w:bottom w:val="single" w:color="auto" w:sz="10" w:space="0"/>
              <w:right w:val="single" w:color="auto" w:sz="10" w:space="0"/>
              <w:insideV w:val="single" w:sz="10" w:space="0"/>
            </w:tcBorders>
            <w:vAlign w:val="center"/>
          </w:tcPr>
          <w:p w14:paraId="27C16D96">
            <w:pPr>
              <w:snapToGrid w:val="0"/>
              <w:jc w:val="center"/>
            </w:pPr>
            <w:r>
              <w:rPr>
                <w:rFonts w:ascii="宋体" w:hAnsi="宋体" w:eastAsia="宋体"/>
                <w:sz w:val="16"/>
              </w:rPr>
              <w:t>计划标准</w:t>
            </w:r>
          </w:p>
        </w:tc>
        <w:tc>
          <w:tcPr>
            <w:tcW w:w="273" w:type="pct"/>
            <w:tcBorders>
              <w:top w:val="single" w:color="auto" w:sz="10" w:space="0"/>
              <w:left w:val="single" w:color="auto" w:sz="10" w:space="0"/>
              <w:bottom w:val="single" w:color="auto" w:sz="10" w:space="0"/>
              <w:right w:val="single" w:color="auto" w:sz="10" w:space="0"/>
              <w:insideV w:val="single" w:sz="10" w:space="0"/>
            </w:tcBorders>
            <w:vAlign w:val="center"/>
          </w:tcPr>
          <w:p w14:paraId="717D0F45">
            <w:pPr>
              <w:snapToGrid w:val="0"/>
              <w:jc w:val="center"/>
            </w:pPr>
            <w:r>
              <w:rPr>
                <w:rFonts w:ascii="宋体" w:hAnsi="宋体" w:eastAsia="宋体"/>
                <w:sz w:val="16"/>
              </w:rPr>
              <w:t>-</w:t>
            </w:r>
          </w:p>
        </w:tc>
        <w:tc>
          <w:tcPr>
            <w:tcW w:w="301" w:type="pct"/>
            <w:tcBorders>
              <w:top w:val="single" w:color="auto" w:sz="10" w:space="0"/>
              <w:left w:val="single" w:color="auto" w:sz="10" w:space="0"/>
              <w:bottom w:val="single" w:color="auto" w:sz="10" w:space="0"/>
              <w:right w:val="single" w:color="auto" w:sz="10" w:space="0"/>
              <w:insideV w:val="single" w:sz="10" w:space="0"/>
            </w:tcBorders>
            <w:vAlign w:val="center"/>
          </w:tcPr>
          <w:p w14:paraId="5938393F">
            <w:pPr>
              <w:snapToGrid w:val="0"/>
              <w:jc w:val="center"/>
            </w:pPr>
            <w:r>
              <w:rPr>
                <w:rFonts w:ascii="宋体" w:hAnsi="宋体" w:eastAsia="宋体"/>
                <w:sz w:val="16"/>
              </w:rPr>
              <w:t>按照完成比例赋分</w:t>
            </w:r>
          </w:p>
        </w:tc>
        <w:tc>
          <w:tcPr>
            <w:tcW w:w="257" w:type="pct"/>
            <w:tcBorders>
              <w:top w:val="single" w:color="auto" w:sz="10" w:space="0"/>
              <w:left w:val="single" w:color="auto" w:sz="10" w:space="0"/>
              <w:bottom w:val="single" w:color="auto" w:sz="10" w:space="0"/>
              <w:right w:val="single" w:color="auto" w:sz="10" w:space="0"/>
              <w:insideV w:val="single" w:sz="10" w:space="0"/>
            </w:tcBorders>
            <w:vAlign w:val="center"/>
          </w:tcPr>
          <w:p w14:paraId="368F987B">
            <w:pPr>
              <w:snapToGrid w:val="0"/>
              <w:jc w:val="center"/>
            </w:pPr>
            <w:r>
              <w:rPr>
                <w:rFonts w:ascii="宋体" w:hAnsi="宋体" w:eastAsia="宋体"/>
                <w:sz w:val="16"/>
              </w:rPr>
              <w:t>工作资料</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4B6F9ACA">
            <w:pPr>
              <w:snapToGrid w:val="0"/>
              <w:jc w:val="center"/>
            </w:pPr>
          </w:p>
        </w:tc>
      </w:tr>
      <w:tr w14:paraId="40143575">
        <w:tblPrEx>
          <w:tblCellMar>
            <w:top w:w="0" w:type="dxa"/>
            <w:left w:w="108" w:type="dxa"/>
            <w:bottom w:w="0" w:type="dxa"/>
            <w:right w:w="108" w:type="dxa"/>
          </w:tblCellMar>
        </w:tblPrEx>
        <w:trPr>
          <w:trHeight w:val="1267"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55413E46">
            <w:pPr>
              <w:snapToGrid w:val="0"/>
            </w:pPr>
          </w:p>
        </w:tc>
        <w:tc>
          <w:tcPr>
            <w:tcW w:w="297" w:type="pct"/>
            <w:vMerge w:val="continue"/>
            <w:tcBorders>
              <w:top w:val="single" w:color="auto" w:sz="10" w:space="0"/>
              <w:left w:val="single" w:color="auto" w:sz="10" w:space="0"/>
              <w:bottom w:val="single" w:color="auto" w:sz="10" w:space="0"/>
              <w:right w:val="single" w:color="auto" w:sz="10" w:space="0"/>
              <w:insideV w:val="single" w:sz="10" w:space="0"/>
            </w:tcBorders>
          </w:tcPr>
          <w:p w14:paraId="61F051CE">
            <w:pPr>
              <w:snapToGrid w:val="0"/>
            </w:pPr>
          </w:p>
        </w:tc>
        <w:tc>
          <w:tcPr>
            <w:tcW w:w="315" w:type="pct"/>
            <w:tcBorders>
              <w:top w:val="single" w:color="auto" w:sz="10" w:space="0"/>
              <w:left w:val="single" w:color="auto" w:sz="10" w:space="0"/>
              <w:bottom w:val="single" w:color="auto" w:sz="10" w:space="0"/>
              <w:right w:val="single" w:color="auto" w:sz="10" w:space="0"/>
              <w:insideV w:val="single" w:sz="10" w:space="0"/>
            </w:tcBorders>
            <w:vAlign w:val="center"/>
          </w:tcPr>
          <w:p w14:paraId="7C551A24">
            <w:pPr>
              <w:snapToGrid w:val="0"/>
              <w:jc w:val="center"/>
            </w:pPr>
            <w:r>
              <w:rPr>
                <w:rFonts w:ascii="宋体" w:hAnsi="宋体" w:eastAsia="宋体"/>
                <w:sz w:val="16"/>
              </w:rPr>
              <w:t>质量指标</w:t>
            </w:r>
          </w:p>
        </w:tc>
        <w:tc>
          <w:tcPr>
            <w:tcW w:w="577" w:type="pct"/>
            <w:tcBorders>
              <w:top w:val="single" w:color="auto" w:sz="10" w:space="0"/>
              <w:left w:val="single" w:color="auto" w:sz="10" w:space="0"/>
              <w:bottom w:val="single" w:color="auto" w:sz="10" w:space="0"/>
              <w:right w:val="single" w:color="auto" w:sz="10" w:space="0"/>
              <w:insideV w:val="single" w:sz="10" w:space="0"/>
            </w:tcBorders>
            <w:vAlign w:val="center"/>
          </w:tcPr>
          <w:p w14:paraId="5A113D7B">
            <w:pPr>
              <w:snapToGrid w:val="0"/>
              <w:jc w:val="center"/>
            </w:pPr>
            <w:r>
              <w:rPr>
                <w:rFonts w:ascii="宋体" w:hAnsi="宋体" w:eastAsia="宋体"/>
                <w:sz w:val="16"/>
              </w:rPr>
              <w:t>竣工验收合格率</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7EE1A6A1">
            <w:pPr>
              <w:snapToGrid w:val="0"/>
              <w:jc w:val="center"/>
            </w:pPr>
            <w:r>
              <w:rPr>
                <w:rFonts w:ascii="宋体" w:hAnsi="宋体" w:eastAsia="宋体"/>
                <w:sz w:val="16"/>
              </w:rPr>
              <w:t>10</w:t>
            </w:r>
          </w:p>
        </w:tc>
        <w:tc>
          <w:tcPr>
            <w:tcW w:w="481" w:type="pct"/>
            <w:tcBorders>
              <w:top w:val="single" w:color="auto" w:sz="10" w:space="0"/>
              <w:left w:val="single" w:color="auto" w:sz="10" w:space="0"/>
              <w:bottom w:val="single" w:color="auto" w:sz="10" w:space="0"/>
              <w:right w:val="single" w:color="auto" w:sz="10" w:space="0"/>
              <w:insideV w:val="single" w:sz="10" w:space="0"/>
            </w:tcBorders>
            <w:vAlign w:val="center"/>
          </w:tcPr>
          <w:p w14:paraId="2902999B">
            <w:pPr>
              <w:snapToGrid w:val="0"/>
              <w:jc w:val="center"/>
            </w:pPr>
            <w:r>
              <w:rPr>
                <w:rFonts w:ascii="宋体" w:hAnsi="宋体" w:eastAsia="宋体"/>
                <w:sz w:val="16"/>
              </w:rPr>
              <w:t>=100%</w:t>
            </w:r>
          </w:p>
        </w:tc>
        <w:tc>
          <w:tcPr>
            <w:tcW w:w="434" w:type="pct"/>
            <w:tcBorders>
              <w:top w:val="single" w:color="auto" w:sz="10" w:space="0"/>
              <w:left w:val="single" w:color="auto" w:sz="10" w:space="0"/>
              <w:bottom w:val="single" w:color="auto" w:sz="10" w:space="0"/>
              <w:right w:val="single" w:color="auto" w:sz="10" w:space="0"/>
              <w:insideV w:val="single" w:sz="10" w:space="0"/>
            </w:tcBorders>
            <w:vAlign w:val="center"/>
          </w:tcPr>
          <w:p w14:paraId="3AED5551">
            <w:pPr>
              <w:snapToGrid w:val="0"/>
              <w:jc w:val="center"/>
            </w:pPr>
            <w:r>
              <w:rPr>
                <w:rFonts w:ascii="宋体" w:hAnsi="宋体" w:eastAsia="宋体"/>
                <w:sz w:val="16"/>
              </w:rPr>
              <w:t>100%</w:t>
            </w:r>
          </w:p>
        </w:tc>
        <w:tc>
          <w:tcPr>
            <w:tcW w:w="351" w:type="pct"/>
            <w:tcBorders>
              <w:top w:val="single" w:color="auto" w:sz="10" w:space="0"/>
              <w:left w:val="single" w:color="auto" w:sz="10" w:space="0"/>
              <w:bottom w:val="single" w:color="auto" w:sz="10" w:space="0"/>
              <w:right w:val="single" w:color="auto" w:sz="10" w:space="0"/>
              <w:insideV w:val="single" w:sz="10" w:space="0"/>
            </w:tcBorders>
            <w:vAlign w:val="center"/>
          </w:tcPr>
          <w:p w14:paraId="3021827E">
            <w:pPr>
              <w:snapToGrid w:val="0"/>
              <w:jc w:val="center"/>
            </w:pPr>
            <w:r>
              <w:rPr>
                <w:rFonts w:ascii="宋体" w:hAnsi="宋体" w:eastAsia="宋体"/>
                <w:sz w:val="16"/>
              </w:rPr>
              <w:t>100%</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39429593">
            <w:pPr>
              <w:snapToGrid w:val="0"/>
              <w:jc w:val="center"/>
            </w:pPr>
            <w:r>
              <w:rPr>
                <w:rFonts w:ascii="宋体" w:hAnsi="宋体" w:eastAsia="宋体"/>
                <w:sz w:val="16"/>
              </w:rPr>
              <w:t>10</w:t>
            </w:r>
          </w:p>
        </w:tc>
        <w:tc>
          <w:tcPr>
            <w:tcW w:w="282" w:type="pct"/>
            <w:tcBorders>
              <w:top w:val="single" w:color="auto" w:sz="10" w:space="0"/>
              <w:left w:val="single" w:color="auto" w:sz="10" w:space="0"/>
              <w:bottom w:val="single" w:color="auto" w:sz="10" w:space="0"/>
              <w:right w:val="single" w:color="auto" w:sz="10" w:space="0"/>
              <w:insideV w:val="single" w:sz="10" w:space="0"/>
            </w:tcBorders>
            <w:vAlign w:val="center"/>
          </w:tcPr>
          <w:p w14:paraId="7D9B1D11">
            <w:pPr>
              <w:snapToGrid w:val="0"/>
              <w:jc w:val="center"/>
            </w:pPr>
            <w:r>
              <w:rPr>
                <w:rFonts w:ascii="宋体" w:hAnsi="宋体" w:eastAsia="宋体"/>
                <w:sz w:val="16"/>
              </w:rPr>
              <w:t>计划标准</w:t>
            </w:r>
          </w:p>
        </w:tc>
        <w:tc>
          <w:tcPr>
            <w:tcW w:w="273" w:type="pct"/>
            <w:tcBorders>
              <w:top w:val="single" w:color="auto" w:sz="10" w:space="0"/>
              <w:left w:val="single" w:color="auto" w:sz="10" w:space="0"/>
              <w:bottom w:val="single" w:color="auto" w:sz="10" w:space="0"/>
              <w:right w:val="single" w:color="auto" w:sz="10" w:space="0"/>
              <w:insideV w:val="single" w:sz="10" w:space="0"/>
            </w:tcBorders>
            <w:vAlign w:val="center"/>
          </w:tcPr>
          <w:p w14:paraId="508568C5">
            <w:pPr>
              <w:snapToGrid w:val="0"/>
              <w:jc w:val="center"/>
            </w:pPr>
            <w:r>
              <w:rPr>
                <w:rFonts w:ascii="宋体" w:hAnsi="宋体" w:eastAsia="宋体"/>
                <w:sz w:val="16"/>
              </w:rPr>
              <w:t>-</w:t>
            </w:r>
          </w:p>
        </w:tc>
        <w:tc>
          <w:tcPr>
            <w:tcW w:w="301" w:type="pct"/>
            <w:tcBorders>
              <w:top w:val="single" w:color="auto" w:sz="10" w:space="0"/>
              <w:left w:val="single" w:color="auto" w:sz="10" w:space="0"/>
              <w:bottom w:val="single" w:color="auto" w:sz="10" w:space="0"/>
              <w:right w:val="single" w:color="auto" w:sz="10" w:space="0"/>
              <w:insideV w:val="single" w:sz="10" w:space="0"/>
            </w:tcBorders>
            <w:vAlign w:val="center"/>
          </w:tcPr>
          <w:p w14:paraId="68A57A5F">
            <w:pPr>
              <w:snapToGrid w:val="0"/>
              <w:jc w:val="center"/>
            </w:pPr>
            <w:r>
              <w:rPr>
                <w:rFonts w:ascii="宋体" w:hAnsi="宋体" w:eastAsia="宋体"/>
                <w:sz w:val="16"/>
              </w:rPr>
              <w:t>按照完成比例赋分</w:t>
            </w:r>
          </w:p>
        </w:tc>
        <w:tc>
          <w:tcPr>
            <w:tcW w:w="257" w:type="pct"/>
            <w:tcBorders>
              <w:top w:val="single" w:color="auto" w:sz="10" w:space="0"/>
              <w:left w:val="single" w:color="auto" w:sz="10" w:space="0"/>
              <w:bottom w:val="single" w:color="auto" w:sz="10" w:space="0"/>
              <w:right w:val="single" w:color="auto" w:sz="10" w:space="0"/>
              <w:insideV w:val="single" w:sz="10" w:space="0"/>
            </w:tcBorders>
            <w:vAlign w:val="center"/>
          </w:tcPr>
          <w:p w14:paraId="15DD12B7">
            <w:pPr>
              <w:snapToGrid w:val="0"/>
              <w:jc w:val="center"/>
            </w:pPr>
            <w:r>
              <w:rPr>
                <w:rFonts w:ascii="宋体" w:hAnsi="宋体" w:eastAsia="宋体"/>
                <w:sz w:val="16"/>
              </w:rPr>
              <w:t>工作资料</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453C3B25">
            <w:pPr>
              <w:snapToGrid w:val="0"/>
              <w:jc w:val="center"/>
            </w:pPr>
          </w:p>
        </w:tc>
      </w:tr>
      <w:tr w14:paraId="3078CA9C">
        <w:tblPrEx>
          <w:tblCellMar>
            <w:top w:w="0" w:type="dxa"/>
            <w:left w:w="108" w:type="dxa"/>
            <w:bottom w:w="0" w:type="dxa"/>
            <w:right w:w="108" w:type="dxa"/>
          </w:tblCellMar>
        </w:tblPrEx>
        <w:trPr>
          <w:trHeight w:val="1267"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2F8C3AD3">
            <w:pPr>
              <w:snapToGrid w:val="0"/>
            </w:pPr>
          </w:p>
        </w:tc>
        <w:tc>
          <w:tcPr>
            <w:tcW w:w="297" w:type="pct"/>
            <w:vMerge w:val="continue"/>
            <w:tcBorders>
              <w:top w:val="single" w:color="auto" w:sz="10" w:space="0"/>
              <w:left w:val="single" w:color="auto" w:sz="10" w:space="0"/>
              <w:bottom w:val="single" w:color="auto" w:sz="10" w:space="0"/>
              <w:right w:val="single" w:color="auto" w:sz="10" w:space="0"/>
              <w:insideV w:val="single" w:sz="10" w:space="0"/>
            </w:tcBorders>
          </w:tcPr>
          <w:p w14:paraId="1C8B97E2">
            <w:pPr>
              <w:snapToGrid w:val="0"/>
            </w:pPr>
          </w:p>
        </w:tc>
        <w:tc>
          <w:tcPr>
            <w:tcW w:w="315" w:type="pct"/>
            <w:tcBorders>
              <w:top w:val="single" w:color="auto" w:sz="10" w:space="0"/>
              <w:left w:val="single" w:color="auto" w:sz="10" w:space="0"/>
              <w:bottom w:val="single" w:color="auto" w:sz="10" w:space="0"/>
              <w:right w:val="single" w:color="auto" w:sz="10" w:space="0"/>
              <w:insideV w:val="single" w:sz="10" w:space="0"/>
            </w:tcBorders>
            <w:vAlign w:val="center"/>
          </w:tcPr>
          <w:p w14:paraId="39CC7E62">
            <w:pPr>
              <w:snapToGrid w:val="0"/>
              <w:jc w:val="center"/>
            </w:pPr>
            <w:r>
              <w:rPr>
                <w:rFonts w:ascii="宋体" w:hAnsi="宋体" w:eastAsia="宋体"/>
                <w:sz w:val="16"/>
              </w:rPr>
              <w:t>时效指标</w:t>
            </w:r>
          </w:p>
        </w:tc>
        <w:tc>
          <w:tcPr>
            <w:tcW w:w="577" w:type="pct"/>
            <w:tcBorders>
              <w:top w:val="single" w:color="auto" w:sz="10" w:space="0"/>
              <w:left w:val="single" w:color="auto" w:sz="10" w:space="0"/>
              <w:bottom w:val="single" w:color="auto" w:sz="10" w:space="0"/>
              <w:right w:val="single" w:color="auto" w:sz="10" w:space="0"/>
              <w:insideV w:val="single" w:sz="10" w:space="0"/>
            </w:tcBorders>
            <w:vAlign w:val="center"/>
          </w:tcPr>
          <w:p w14:paraId="6D35E00A">
            <w:pPr>
              <w:snapToGrid w:val="0"/>
              <w:jc w:val="center"/>
            </w:pPr>
            <w:r>
              <w:rPr>
                <w:rFonts w:ascii="宋体" w:hAnsi="宋体" w:eastAsia="宋体"/>
                <w:sz w:val="16"/>
              </w:rPr>
              <w:t>工作任务完成时限</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7DCAA6B2">
            <w:pPr>
              <w:snapToGrid w:val="0"/>
              <w:jc w:val="center"/>
            </w:pPr>
            <w:r>
              <w:rPr>
                <w:rFonts w:ascii="宋体" w:hAnsi="宋体" w:eastAsia="宋体"/>
                <w:sz w:val="16"/>
              </w:rPr>
              <w:t>10</w:t>
            </w:r>
          </w:p>
        </w:tc>
        <w:tc>
          <w:tcPr>
            <w:tcW w:w="481" w:type="pct"/>
            <w:tcBorders>
              <w:top w:val="single" w:color="auto" w:sz="10" w:space="0"/>
              <w:left w:val="single" w:color="auto" w:sz="10" w:space="0"/>
              <w:bottom w:val="single" w:color="auto" w:sz="10" w:space="0"/>
              <w:right w:val="single" w:color="auto" w:sz="10" w:space="0"/>
              <w:insideV w:val="single" w:sz="10" w:space="0"/>
            </w:tcBorders>
            <w:vAlign w:val="center"/>
          </w:tcPr>
          <w:p w14:paraId="31779F3C">
            <w:pPr>
              <w:snapToGrid w:val="0"/>
              <w:jc w:val="center"/>
            </w:pPr>
            <w:r>
              <w:rPr>
                <w:rFonts w:ascii="宋体" w:hAnsi="宋体" w:eastAsia="宋体"/>
                <w:sz w:val="16"/>
              </w:rPr>
              <w:t>=2024年11月30日</w:t>
            </w:r>
          </w:p>
        </w:tc>
        <w:tc>
          <w:tcPr>
            <w:tcW w:w="434" w:type="pct"/>
            <w:tcBorders>
              <w:top w:val="single" w:color="auto" w:sz="10" w:space="0"/>
              <w:left w:val="single" w:color="auto" w:sz="10" w:space="0"/>
              <w:bottom w:val="single" w:color="auto" w:sz="10" w:space="0"/>
              <w:right w:val="single" w:color="auto" w:sz="10" w:space="0"/>
              <w:insideV w:val="single" w:sz="10" w:space="0"/>
            </w:tcBorders>
            <w:vAlign w:val="center"/>
          </w:tcPr>
          <w:p w14:paraId="7C55D0F9">
            <w:pPr>
              <w:snapToGrid w:val="0"/>
              <w:jc w:val="center"/>
            </w:pPr>
            <w:r>
              <w:rPr>
                <w:rFonts w:ascii="宋体" w:hAnsi="宋体" w:eastAsia="宋体"/>
                <w:sz w:val="16"/>
              </w:rPr>
              <w:t>2024年11月30日</w:t>
            </w:r>
          </w:p>
        </w:tc>
        <w:tc>
          <w:tcPr>
            <w:tcW w:w="351" w:type="pct"/>
            <w:tcBorders>
              <w:top w:val="single" w:color="auto" w:sz="10" w:space="0"/>
              <w:left w:val="single" w:color="auto" w:sz="10" w:space="0"/>
              <w:bottom w:val="single" w:color="auto" w:sz="10" w:space="0"/>
              <w:right w:val="single" w:color="auto" w:sz="10" w:space="0"/>
              <w:insideV w:val="single" w:sz="10" w:space="0"/>
            </w:tcBorders>
            <w:vAlign w:val="center"/>
          </w:tcPr>
          <w:p w14:paraId="7B5ED019">
            <w:pPr>
              <w:snapToGrid w:val="0"/>
              <w:jc w:val="center"/>
            </w:pPr>
            <w:r>
              <w:rPr>
                <w:rFonts w:ascii="宋体" w:hAnsi="宋体" w:eastAsia="宋体"/>
                <w:sz w:val="16"/>
              </w:rPr>
              <w:t>100%</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754619A1">
            <w:pPr>
              <w:snapToGrid w:val="0"/>
              <w:jc w:val="center"/>
            </w:pPr>
            <w:r>
              <w:rPr>
                <w:rFonts w:ascii="宋体" w:hAnsi="宋体" w:eastAsia="宋体"/>
                <w:sz w:val="16"/>
              </w:rPr>
              <w:t>10</w:t>
            </w:r>
          </w:p>
        </w:tc>
        <w:tc>
          <w:tcPr>
            <w:tcW w:w="282" w:type="pct"/>
            <w:tcBorders>
              <w:top w:val="single" w:color="auto" w:sz="10" w:space="0"/>
              <w:left w:val="single" w:color="auto" w:sz="10" w:space="0"/>
              <w:bottom w:val="single" w:color="auto" w:sz="10" w:space="0"/>
              <w:right w:val="single" w:color="auto" w:sz="10" w:space="0"/>
              <w:insideV w:val="single" w:sz="10" w:space="0"/>
            </w:tcBorders>
            <w:vAlign w:val="center"/>
          </w:tcPr>
          <w:p w14:paraId="0F823346">
            <w:pPr>
              <w:snapToGrid w:val="0"/>
              <w:jc w:val="center"/>
            </w:pPr>
            <w:r>
              <w:rPr>
                <w:rFonts w:ascii="宋体" w:hAnsi="宋体" w:eastAsia="宋体"/>
                <w:sz w:val="16"/>
              </w:rPr>
              <w:t>计划标准</w:t>
            </w:r>
          </w:p>
        </w:tc>
        <w:tc>
          <w:tcPr>
            <w:tcW w:w="273" w:type="pct"/>
            <w:tcBorders>
              <w:top w:val="single" w:color="auto" w:sz="10" w:space="0"/>
              <w:left w:val="single" w:color="auto" w:sz="10" w:space="0"/>
              <w:bottom w:val="single" w:color="auto" w:sz="10" w:space="0"/>
              <w:right w:val="single" w:color="auto" w:sz="10" w:space="0"/>
              <w:insideV w:val="single" w:sz="10" w:space="0"/>
            </w:tcBorders>
            <w:vAlign w:val="center"/>
          </w:tcPr>
          <w:p w14:paraId="581C4899">
            <w:pPr>
              <w:snapToGrid w:val="0"/>
              <w:jc w:val="center"/>
            </w:pPr>
            <w:r>
              <w:rPr>
                <w:rFonts w:ascii="宋体" w:hAnsi="宋体" w:eastAsia="宋体"/>
                <w:sz w:val="16"/>
              </w:rPr>
              <w:t>-</w:t>
            </w:r>
          </w:p>
        </w:tc>
        <w:tc>
          <w:tcPr>
            <w:tcW w:w="301" w:type="pct"/>
            <w:tcBorders>
              <w:top w:val="single" w:color="auto" w:sz="10" w:space="0"/>
              <w:left w:val="single" w:color="auto" w:sz="10" w:space="0"/>
              <w:bottom w:val="single" w:color="auto" w:sz="10" w:space="0"/>
              <w:right w:val="single" w:color="auto" w:sz="10" w:space="0"/>
              <w:insideV w:val="single" w:sz="10" w:space="0"/>
            </w:tcBorders>
            <w:vAlign w:val="center"/>
          </w:tcPr>
          <w:p w14:paraId="45535677">
            <w:pPr>
              <w:snapToGrid w:val="0"/>
              <w:jc w:val="center"/>
            </w:pPr>
            <w:r>
              <w:rPr>
                <w:rFonts w:ascii="宋体" w:hAnsi="宋体" w:eastAsia="宋体"/>
                <w:sz w:val="16"/>
              </w:rPr>
              <w:t>按照完成比例赋分</w:t>
            </w:r>
          </w:p>
        </w:tc>
        <w:tc>
          <w:tcPr>
            <w:tcW w:w="257" w:type="pct"/>
            <w:tcBorders>
              <w:top w:val="single" w:color="auto" w:sz="10" w:space="0"/>
              <w:left w:val="single" w:color="auto" w:sz="10" w:space="0"/>
              <w:bottom w:val="single" w:color="auto" w:sz="10" w:space="0"/>
              <w:right w:val="single" w:color="auto" w:sz="10" w:space="0"/>
              <w:insideV w:val="single" w:sz="10" w:space="0"/>
            </w:tcBorders>
            <w:vAlign w:val="center"/>
          </w:tcPr>
          <w:p w14:paraId="3CCA2D59">
            <w:pPr>
              <w:snapToGrid w:val="0"/>
              <w:jc w:val="center"/>
            </w:pPr>
            <w:r>
              <w:rPr>
                <w:rFonts w:ascii="宋体" w:hAnsi="宋体" w:eastAsia="宋体"/>
                <w:sz w:val="16"/>
              </w:rPr>
              <w:t>工作资料</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0AA86DF7">
            <w:pPr>
              <w:snapToGrid w:val="0"/>
              <w:jc w:val="center"/>
            </w:pPr>
          </w:p>
        </w:tc>
      </w:tr>
      <w:tr w14:paraId="1D47BDCD">
        <w:tblPrEx>
          <w:tblCellMar>
            <w:top w:w="0" w:type="dxa"/>
            <w:left w:w="108" w:type="dxa"/>
            <w:bottom w:w="0" w:type="dxa"/>
            <w:right w:w="108" w:type="dxa"/>
          </w:tblCellMar>
        </w:tblPrEx>
        <w:trPr>
          <w:trHeight w:val="1267"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600F32AD">
            <w:pPr>
              <w:snapToGrid w:val="0"/>
            </w:pPr>
          </w:p>
        </w:tc>
        <w:tc>
          <w:tcPr>
            <w:tcW w:w="297" w:type="pct"/>
            <w:tcBorders>
              <w:top w:val="single" w:color="auto" w:sz="10" w:space="0"/>
              <w:left w:val="single" w:color="auto" w:sz="10" w:space="0"/>
              <w:bottom w:val="single" w:color="auto" w:sz="10" w:space="0"/>
              <w:right w:val="single" w:color="auto" w:sz="10" w:space="0"/>
              <w:insideV w:val="single" w:sz="10" w:space="0"/>
            </w:tcBorders>
            <w:vAlign w:val="center"/>
          </w:tcPr>
          <w:p w14:paraId="0B106BD3">
            <w:pPr>
              <w:snapToGrid w:val="0"/>
              <w:jc w:val="center"/>
            </w:pPr>
            <w:r>
              <w:rPr>
                <w:rFonts w:ascii="宋体" w:hAnsi="宋体" w:eastAsia="宋体"/>
                <w:sz w:val="16"/>
              </w:rPr>
              <w:t>成本指标</w:t>
            </w:r>
          </w:p>
        </w:tc>
        <w:tc>
          <w:tcPr>
            <w:tcW w:w="315" w:type="pct"/>
            <w:tcBorders>
              <w:top w:val="single" w:color="auto" w:sz="10" w:space="0"/>
              <w:left w:val="single" w:color="auto" w:sz="10" w:space="0"/>
              <w:bottom w:val="single" w:color="auto" w:sz="10" w:space="0"/>
              <w:right w:val="single" w:color="auto" w:sz="10" w:space="0"/>
              <w:insideV w:val="single" w:sz="10" w:space="0"/>
            </w:tcBorders>
            <w:vAlign w:val="center"/>
          </w:tcPr>
          <w:p w14:paraId="36789934">
            <w:pPr>
              <w:snapToGrid w:val="0"/>
              <w:jc w:val="center"/>
            </w:pPr>
            <w:r>
              <w:rPr>
                <w:rFonts w:ascii="宋体" w:hAnsi="宋体" w:eastAsia="宋体"/>
                <w:sz w:val="16"/>
              </w:rPr>
              <w:t>经济成本指标</w:t>
            </w:r>
          </w:p>
        </w:tc>
        <w:tc>
          <w:tcPr>
            <w:tcW w:w="577" w:type="pct"/>
            <w:tcBorders>
              <w:top w:val="single" w:color="auto" w:sz="10" w:space="0"/>
              <w:left w:val="single" w:color="auto" w:sz="10" w:space="0"/>
              <w:bottom w:val="single" w:color="auto" w:sz="10" w:space="0"/>
              <w:right w:val="single" w:color="auto" w:sz="10" w:space="0"/>
              <w:insideV w:val="single" w:sz="10" w:space="0"/>
            </w:tcBorders>
            <w:vAlign w:val="center"/>
          </w:tcPr>
          <w:p w14:paraId="78B1FC4E">
            <w:pPr>
              <w:snapToGrid w:val="0"/>
              <w:jc w:val="center"/>
            </w:pPr>
            <w:r>
              <w:rPr>
                <w:rFonts w:ascii="宋体" w:hAnsi="宋体" w:eastAsia="宋体"/>
                <w:sz w:val="16"/>
              </w:rPr>
              <w:t>每户越冬房成本</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0A352065">
            <w:pPr>
              <w:snapToGrid w:val="0"/>
              <w:jc w:val="center"/>
            </w:pPr>
            <w:r>
              <w:rPr>
                <w:rFonts w:ascii="宋体" w:hAnsi="宋体" w:eastAsia="宋体"/>
                <w:sz w:val="16"/>
              </w:rPr>
              <w:t>20</w:t>
            </w:r>
          </w:p>
        </w:tc>
        <w:tc>
          <w:tcPr>
            <w:tcW w:w="481" w:type="pct"/>
            <w:tcBorders>
              <w:top w:val="single" w:color="auto" w:sz="10" w:space="0"/>
              <w:left w:val="single" w:color="auto" w:sz="10" w:space="0"/>
              <w:bottom w:val="single" w:color="auto" w:sz="10" w:space="0"/>
              <w:right w:val="single" w:color="auto" w:sz="10" w:space="0"/>
              <w:insideV w:val="single" w:sz="10" w:space="0"/>
            </w:tcBorders>
            <w:vAlign w:val="center"/>
          </w:tcPr>
          <w:p w14:paraId="64275DFD">
            <w:pPr>
              <w:snapToGrid w:val="0"/>
              <w:jc w:val="center"/>
            </w:pPr>
            <w:r>
              <w:rPr>
                <w:rFonts w:ascii="宋体" w:hAnsi="宋体" w:eastAsia="宋体"/>
                <w:sz w:val="16"/>
              </w:rPr>
              <w:t>&lt;=3万元</w:t>
            </w:r>
          </w:p>
        </w:tc>
        <w:tc>
          <w:tcPr>
            <w:tcW w:w="434" w:type="pct"/>
            <w:tcBorders>
              <w:top w:val="single" w:color="auto" w:sz="10" w:space="0"/>
              <w:left w:val="single" w:color="auto" w:sz="10" w:space="0"/>
              <w:bottom w:val="single" w:color="auto" w:sz="10" w:space="0"/>
              <w:right w:val="single" w:color="auto" w:sz="10" w:space="0"/>
              <w:insideV w:val="single" w:sz="10" w:space="0"/>
            </w:tcBorders>
            <w:vAlign w:val="center"/>
          </w:tcPr>
          <w:p w14:paraId="43D2DD93">
            <w:pPr>
              <w:snapToGrid w:val="0"/>
              <w:jc w:val="center"/>
            </w:pPr>
            <w:r>
              <w:rPr>
                <w:rFonts w:ascii="宋体" w:hAnsi="宋体" w:eastAsia="宋体"/>
                <w:sz w:val="16"/>
              </w:rPr>
              <w:t>3万元</w:t>
            </w:r>
          </w:p>
        </w:tc>
        <w:tc>
          <w:tcPr>
            <w:tcW w:w="351" w:type="pct"/>
            <w:tcBorders>
              <w:top w:val="single" w:color="auto" w:sz="10" w:space="0"/>
              <w:left w:val="single" w:color="auto" w:sz="10" w:space="0"/>
              <w:bottom w:val="single" w:color="auto" w:sz="10" w:space="0"/>
              <w:right w:val="single" w:color="auto" w:sz="10" w:space="0"/>
              <w:insideV w:val="single" w:sz="10" w:space="0"/>
            </w:tcBorders>
            <w:vAlign w:val="center"/>
          </w:tcPr>
          <w:p w14:paraId="63BF5885">
            <w:pPr>
              <w:snapToGrid w:val="0"/>
              <w:jc w:val="center"/>
            </w:pPr>
            <w:r>
              <w:rPr>
                <w:rFonts w:ascii="宋体" w:hAnsi="宋体" w:eastAsia="宋体"/>
                <w:sz w:val="16"/>
              </w:rPr>
              <w:t>100%</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5EFA4F98">
            <w:pPr>
              <w:snapToGrid w:val="0"/>
              <w:jc w:val="center"/>
            </w:pPr>
            <w:r>
              <w:rPr>
                <w:rFonts w:ascii="宋体" w:hAnsi="宋体" w:eastAsia="宋体"/>
                <w:sz w:val="16"/>
              </w:rPr>
              <w:t>20</w:t>
            </w:r>
          </w:p>
        </w:tc>
        <w:tc>
          <w:tcPr>
            <w:tcW w:w="282" w:type="pct"/>
            <w:tcBorders>
              <w:top w:val="single" w:color="auto" w:sz="10" w:space="0"/>
              <w:left w:val="single" w:color="auto" w:sz="10" w:space="0"/>
              <w:bottom w:val="single" w:color="auto" w:sz="10" w:space="0"/>
              <w:right w:val="single" w:color="auto" w:sz="10" w:space="0"/>
              <w:insideV w:val="single" w:sz="10" w:space="0"/>
            </w:tcBorders>
            <w:vAlign w:val="center"/>
          </w:tcPr>
          <w:p w14:paraId="53EB8A35">
            <w:pPr>
              <w:snapToGrid w:val="0"/>
              <w:jc w:val="center"/>
            </w:pPr>
            <w:r>
              <w:rPr>
                <w:rFonts w:ascii="宋体" w:hAnsi="宋体" w:eastAsia="宋体"/>
                <w:sz w:val="16"/>
              </w:rPr>
              <w:t>计划标准</w:t>
            </w:r>
          </w:p>
        </w:tc>
        <w:tc>
          <w:tcPr>
            <w:tcW w:w="273" w:type="pct"/>
            <w:tcBorders>
              <w:top w:val="single" w:color="auto" w:sz="10" w:space="0"/>
              <w:left w:val="single" w:color="auto" w:sz="10" w:space="0"/>
              <w:bottom w:val="single" w:color="auto" w:sz="10" w:space="0"/>
              <w:right w:val="single" w:color="auto" w:sz="10" w:space="0"/>
              <w:insideV w:val="single" w:sz="10" w:space="0"/>
            </w:tcBorders>
            <w:vAlign w:val="center"/>
          </w:tcPr>
          <w:p w14:paraId="04986DBB">
            <w:pPr>
              <w:snapToGrid w:val="0"/>
              <w:jc w:val="center"/>
            </w:pPr>
            <w:r>
              <w:rPr>
                <w:rFonts w:ascii="宋体" w:hAnsi="宋体" w:eastAsia="宋体"/>
                <w:sz w:val="16"/>
              </w:rPr>
              <w:t>-</w:t>
            </w:r>
          </w:p>
        </w:tc>
        <w:tc>
          <w:tcPr>
            <w:tcW w:w="301" w:type="pct"/>
            <w:tcBorders>
              <w:top w:val="single" w:color="auto" w:sz="10" w:space="0"/>
              <w:left w:val="single" w:color="auto" w:sz="10" w:space="0"/>
              <w:bottom w:val="single" w:color="auto" w:sz="10" w:space="0"/>
              <w:right w:val="single" w:color="auto" w:sz="10" w:space="0"/>
              <w:insideV w:val="single" w:sz="10" w:space="0"/>
            </w:tcBorders>
            <w:vAlign w:val="center"/>
          </w:tcPr>
          <w:p w14:paraId="034D23A0">
            <w:pPr>
              <w:snapToGrid w:val="0"/>
              <w:jc w:val="center"/>
            </w:pPr>
            <w:r>
              <w:rPr>
                <w:rFonts w:ascii="宋体" w:hAnsi="宋体" w:eastAsia="宋体"/>
                <w:sz w:val="16"/>
              </w:rPr>
              <w:t>按照完成比例赋分</w:t>
            </w:r>
          </w:p>
        </w:tc>
        <w:tc>
          <w:tcPr>
            <w:tcW w:w="257" w:type="pct"/>
            <w:tcBorders>
              <w:top w:val="single" w:color="auto" w:sz="10" w:space="0"/>
              <w:left w:val="single" w:color="auto" w:sz="10" w:space="0"/>
              <w:bottom w:val="single" w:color="auto" w:sz="10" w:space="0"/>
              <w:right w:val="single" w:color="auto" w:sz="10" w:space="0"/>
              <w:insideV w:val="single" w:sz="10" w:space="0"/>
            </w:tcBorders>
            <w:vAlign w:val="center"/>
          </w:tcPr>
          <w:p w14:paraId="7005EDE3">
            <w:pPr>
              <w:snapToGrid w:val="0"/>
              <w:jc w:val="center"/>
            </w:pPr>
            <w:r>
              <w:rPr>
                <w:rFonts w:ascii="宋体" w:hAnsi="宋体" w:eastAsia="宋体"/>
                <w:sz w:val="16"/>
              </w:rPr>
              <w:t>工作资料</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5CE49A2E">
            <w:pPr>
              <w:snapToGrid w:val="0"/>
              <w:jc w:val="center"/>
            </w:pPr>
          </w:p>
        </w:tc>
      </w:tr>
      <w:tr w14:paraId="6530B0E1">
        <w:tblPrEx>
          <w:tblCellMar>
            <w:top w:w="0" w:type="dxa"/>
            <w:left w:w="108" w:type="dxa"/>
            <w:bottom w:w="0" w:type="dxa"/>
            <w:right w:w="108" w:type="dxa"/>
          </w:tblCellMar>
        </w:tblPrEx>
        <w:trPr>
          <w:trHeight w:val="1573"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00939A1F">
            <w:pPr>
              <w:snapToGrid w:val="0"/>
            </w:pPr>
          </w:p>
        </w:tc>
        <w:tc>
          <w:tcPr>
            <w:tcW w:w="297" w:type="pct"/>
            <w:tcBorders>
              <w:top w:val="single" w:color="auto" w:sz="10" w:space="0"/>
              <w:left w:val="single" w:color="auto" w:sz="10" w:space="0"/>
              <w:bottom w:val="single" w:color="auto" w:sz="10" w:space="0"/>
              <w:right w:val="single" w:color="auto" w:sz="10" w:space="0"/>
              <w:insideV w:val="single" w:sz="10" w:space="0"/>
            </w:tcBorders>
            <w:vAlign w:val="center"/>
          </w:tcPr>
          <w:p w14:paraId="01B4630F">
            <w:pPr>
              <w:snapToGrid w:val="0"/>
              <w:jc w:val="center"/>
            </w:pPr>
            <w:r>
              <w:rPr>
                <w:rFonts w:ascii="宋体" w:hAnsi="宋体" w:eastAsia="宋体"/>
                <w:sz w:val="16"/>
              </w:rPr>
              <w:t>效益指标</w:t>
            </w:r>
          </w:p>
        </w:tc>
        <w:tc>
          <w:tcPr>
            <w:tcW w:w="315" w:type="pct"/>
            <w:tcBorders>
              <w:top w:val="single" w:color="auto" w:sz="10" w:space="0"/>
              <w:left w:val="single" w:color="auto" w:sz="10" w:space="0"/>
              <w:bottom w:val="single" w:color="auto" w:sz="10" w:space="0"/>
              <w:right w:val="single" w:color="auto" w:sz="10" w:space="0"/>
              <w:insideV w:val="single" w:sz="10" w:space="0"/>
            </w:tcBorders>
            <w:vAlign w:val="center"/>
          </w:tcPr>
          <w:p w14:paraId="73B83DFB">
            <w:pPr>
              <w:snapToGrid w:val="0"/>
              <w:jc w:val="center"/>
            </w:pPr>
            <w:r>
              <w:rPr>
                <w:rFonts w:ascii="宋体" w:hAnsi="宋体" w:eastAsia="宋体"/>
                <w:sz w:val="16"/>
              </w:rPr>
              <w:t>社会效益指标</w:t>
            </w:r>
          </w:p>
        </w:tc>
        <w:tc>
          <w:tcPr>
            <w:tcW w:w="577" w:type="pct"/>
            <w:tcBorders>
              <w:top w:val="single" w:color="auto" w:sz="10" w:space="0"/>
              <w:left w:val="single" w:color="auto" w:sz="10" w:space="0"/>
              <w:bottom w:val="single" w:color="auto" w:sz="10" w:space="0"/>
              <w:right w:val="single" w:color="auto" w:sz="10" w:space="0"/>
              <w:insideV w:val="single" w:sz="10" w:space="0"/>
            </w:tcBorders>
            <w:vAlign w:val="center"/>
          </w:tcPr>
          <w:p w14:paraId="6909967B">
            <w:pPr>
              <w:snapToGrid w:val="0"/>
              <w:jc w:val="center"/>
            </w:pPr>
            <w:r>
              <w:rPr>
                <w:rFonts w:ascii="宋体" w:hAnsi="宋体" w:eastAsia="宋体"/>
                <w:sz w:val="16"/>
              </w:rPr>
              <w:t>城乡抗震安居工程建设房屋安全隐患排查整治成果</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27F15252">
            <w:pPr>
              <w:snapToGrid w:val="0"/>
              <w:jc w:val="center"/>
            </w:pPr>
            <w:r>
              <w:rPr>
                <w:rFonts w:ascii="宋体" w:hAnsi="宋体" w:eastAsia="宋体"/>
                <w:sz w:val="16"/>
              </w:rPr>
              <w:t>20</w:t>
            </w:r>
          </w:p>
        </w:tc>
        <w:tc>
          <w:tcPr>
            <w:tcW w:w="481" w:type="pct"/>
            <w:tcBorders>
              <w:top w:val="single" w:color="auto" w:sz="10" w:space="0"/>
              <w:left w:val="single" w:color="auto" w:sz="10" w:space="0"/>
              <w:bottom w:val="single" w:color="auto" w:sz="10" w:space="0"/>
              <w:right w:val="single" w:color="auto" w:sz="10" w:space="0"/>
              <w:insideV w:val="single" w:sz="10" w:space="0"/>
            </w:tcBorders>
            <w:vAlign w:val="center"/>
          </w:tcPr>
          <w:p w14:paraId="003851AF">
            <w:pPr>
              <w:snapToGrid w:val="0"/>
              <w:jc w:val="center"/>
            </w:pPr>
            <w:r>
              <w:rPr>
                <w:rFonts w:ascii="宋体" w:hAnsi="宋体" w:eastAsia="宋体"/>
                <w:sz w:val="16"/>
              </w:rPr>
              <w:t>成效明显</w:t>
            </w:r>
          </w:p>
        </w:tc>
        <w:tc>
          <w:tcPr>
            <w:tcW w:w="434" w:type="pct"/>
            <w:tcBorders>
              <w:top w:val="single" w:color="auto" w:sz="10" w:space="0"/>
              <w:left w:val="single" w:color="auto" w:sz="10" w:space="0"/>
              <w:bottom w:val="single" w:color="auto" w:sz="10" w:space="0"/>
              <w:right w:val="single" w:color="auto" w:sz="10" w:space="0"/>
              <w:insideV w:val="single" w:sz="10" w:space="0"/>
            </w:tcBorders>
            <w:vAlign w:val="center"/>
          </w:tcPr>
          <w:p w14:paraId="3826710B">
            <w:pPr>
              <w:snapToGrid w:val="0"/>
              <w:jc w:val="center"/>
            </w:pPr>
            <w:r>
              <w:rPr>
                <w:rFonts w:ascii="宋体" w:hAnsi="宋体" w:eastAsia="宋体"/>
                <w:sz w:val="16"/>
              </w:rPr>
              <w:t>成效明显</w:t>
            </w:r>
          </w:p>
        </w:tc>
        <w:tc>
          <w:tcPr>
            <w:tcW w:w="351" w:type="pct"/>
            <w:tcBorders>
              <w:top w:val="single" w:color="auto" w:sz="10" w:space="0"/>
              <w:left w:val="single" w:color="auto" w:sz="10" w:space="0"/>
              <w:bottom w:val="single" w:color="auto" w:sz="10" w:space="0"/>
              <w:right w:val="single" w:color="auto" w:sz="10" w:space="0"/>
              <w:insideV w:val="single" w:sz="10" w:space="0"/>
            </w:tcBorders>
            <w:vAlign w:val="center"/>
          </w:tcPr>
          <w:p w14:paraId="370BC2CC">
            <w:pPr>
              <w:snapToGrid w:val="0"/>
              <w:jc w:val="center"/>
            </w:pPr>
            <w:r>
              <w:rPr>
                <w:rFonts w:ascii="宋体" w:hAnsi="宋体" w:eastAsia="宋体"/>
                <w:sz w:val="16"/>
              </w:rPr>
              <w:t>100%</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2B270AC7">
            <w:pPr>
              <w:snapToGrid w:val="0"/>
              <w:jc w:val="center"/>
            </w:pPr>
            <w:r>
              <w:rPr>
                <w:rFonts w:ascii="宋体" w:hAnsi="宋体" w:eastAsia="宋体"/>
                <w:sz w:val="16"/>
              </w:rPr>
              <w:t>20</w:t>
            </w:r>
          </w:p>
        </w:tc>
        <w:tc>
          <w:tcPr>
            <w:tcW w:w="282" w:type="pct"/>
            <w:tcBorders>
              <w:top w:val="single" w:color="auto" w:sz="10" w:space="0"/>
              <w:left w:val="single" w:color="auto" w:sz="10" w:space="0"/>
              <w:bottom w:val="single" w:color="auto" w:sz="10" w:space="0"/>
              <w:right w:val="single" w:color="auto" w:sz="10" w:space="0"/>
              <w:insideV w:val="single" w:sz="10" w:space="0"/>
            </w:tcBorders>
            <w:vAlign w:val="center"/>
          </w:tcPr>
          <w:p w14:paraId="61B543FE">
            <w:pPr>
              <w:snapToGrid w:val="0"/>
              <w:jc w:val="center"/>
            </w:pPr>
            <w:r>
              <w:rPr>
                <w:rFonts w:ascii="宋体" w:hAnsi="宋体" w:eastAsia="宋体"/>
                <w:sz w:val="16"/>
              </w:rPr>
              <w:t>计划标准</w:t>
            </w:r>
          </w:p>
        </w:tc>
        <w:tc>
          <w:tcPr>
            <w:tcW w:w="273" w:type="pct"/>
            <w:tcBorders>
              <w:top w:val="single" w:color="auto" w:sz="10" w:space="0"/>
              <w:left w:val="single" w:color="auto" w:sz="10" w:space="0"/>
              <w:bottom w:val="single" w:color="auto" w:sz="10" w:space="0"/>
              <w:right w:val="single" w:color="auto" w:sz="10" w:space="0"/>
              <w:insideV w:val="single" w:sz="10" w:space="0"/>
            </w:tcBorders>
            <w:vAlign w:val="center"/>
          </w:tcPr>
          <w:p w14:paraId="1A328609">
            <w:pPr>
              <w:snapToGrid w:val="0"/>
              <w:jc w:val="center"/>
            </w:pPr>
            <w:r>
              <w:rPr>
                <w:rFonts w:ascii="宋体" w:hAnsi="宋体" w:eastAsia="宋体"/>
                <w:sz w:val="16"/>
              </w:rPr>
              <w:t>-</w:t>
            </w:r>
          </w:p>
        </w:tc>
        <w:tc>
          <w:tcPr>
            <w:tcW w:w="301" w:type="pct"/>
            <w:tcBorders>
              <w:top w:val="single" w:color="auto" w:sz="10" w:space="0"/>
              <w:left w:val="single" w:color="auto" w:sz="10" w:space="0"/>
              <w:bottom w:val="single" w:color="auto" w:sz="10" w:space="0"/>
              <w:right w:val="single" w:color="auto" w:sz="10" w:space="0"/>
              <w:insideV w:val="single" w:sz="10" w:space="0"/>
            </w:tcBorders>
            <w:vAlign w:val="center"/>
          </w:tcPr>
          <w:p w14:paraId="44CA1594">
            <w:pPr>
              <w:snapToGrid w:val="0"/>
              <w:jc w:val="center"/>
            </w:pPr>
            <w:r>
              <w:rPr>
                <w:rFonts w:ascii="宋体" w:hAnsi="宋体" w:eastAsia="宋体"/>
                <w:sz w:val="16"/>
              </w:rPr>
              <w:t>按照完成比例赋分</w:t>
            </w:r>
          </w:p>
        </w:tc>
        <w:tc>
          <w:tcPr>
            <w:tcW w:w="257" w:type="pct"/>
            <w:tcBorders>
              <w:top w:val="single" w:color="auto" w:sz="10" w:space="0"/>
              <w:left w:val="single" w:color="auto" w:sz="10" w:space="0"/>
              <w:bottom w:val="single" w:color="auto" w:sz="10" w:space="0"/>
              <w:right w:val="single" w:color="auto" w:sz="10" w:space="0"/>
              <w:insideV w:val="single" w:sz="10" w:space="0"/>
            </w:tcBorders>
            <w:vAlign w:val="center"/>
          </w:tcPr>
          <w:p w14:paraId="352C7BEB">
            <w:pPr>
              <w:snapToGrid w:val="0"/>
              <w:jc w:val="center"/>
            </w:pPr>
            <w:r>
              <w:rPr>
                <w:rFonts w:ascii="宋体" w:hAnsi="宋体" w:eastAsia="宋体"/>
                <w:sz w:val="16"/>
              </w:rPr>
              <w:t>工作资料</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304C0D01">
            <w:pPr>
              <w:snapToGrid w:val="0"/>
              <w:jc w:val="center"/>
            </w:pPr>
          </w:p>
        </w:tc>
      </w:tr>
      <w:tr w14:paraId="03D6E131">
        <w:tblPrEx>
          <w:tblCellMar>
            <w:top w:w="0" w:type="dxa"/>
            <w:left w:w="108" w:type="dxa"/>
            <w:bottom w:w="0" w:type="dxa"/>
            <w:right w:w="108" w:type="dxa"/>
          </w:tblCellMar>
        </w:tblPrEx>
        <w:trPr>
          <w:trHeight w:val="1267" w:hRule="atLeast"/>
          <w:jc w:val="center"/>
        </w:trPr>
        <w:tc>
          <w:tcPr>
            <w:tcW w:w="337" w:type="pct"/>
            <w:vMerge w:val="continue"/>
            <w:tcBorders>
              <w:top w:val="single" w:color="auto" w:sz="10" w:space="0"/>
              <w:left w:val="single" w:color="auto" w:sz="10" w:space="0"/>
              <w:bottom w:val="single" w:color="auto" w:sz="10" w:space="0"/>
              <w:right w:val="single" w:color="auto" w:sz="10" w:space="0"/>
              <w:insideV w:val="single" w:sz="10" w:space="0"/>
            </w:tcBorders>
          </w:tcPr>
          <w:p w14:paraId="46BC5E29">
            <w:pPr>
              <w:snapToGrid w:val="0"/>
            </w:pPr>
          </w:p>
        </w:tc>
        <w:tc>
          <w:tcPr>
            <w:tcW w:w="297" w:type="pct"/>
            <w:tcBorders>
              <w:top w:val="single" w:color="auto" w:sz="10" w:space="0"/>
              <w:left w:val="single" w:color="auto" w:sz="10" w:space="0"/>
              <w:bottom w:val="single" w:color="auto" w:sz="10" w:space="0"/>
              <w:right w:val="single" w:color="auto" w:sz="10" w:space="0"/>
              <w:insideV w:val="single" w:sz="10" w:space="0"/>
            </w:tcBorders>
            <w:vAlign w:val="center"/>
          </w:tcPr>
          <w:p w14:paraId="702C3A0C">
            <w:pPr>
              <w:snapToGrid w:val="0"/>
              <w:jc w:val="center"/>
            </w:pPr>
            <w:r>
              <w:rPr>
                <w:rFonts w:ascii="宋体" w:hAnsi="宋体" w:eastAsia="宋体"/>
                <w:sz w:val="16"/>
              </w:rPr>
              <w:t>满意度指标</w:t>
            </w:r>
          </w:p>
        </w:tc>
        <w:tc>
          <w:tcPr>
            <w:tcW w:w="315" w:type="pct"/>
            <w:tcBorders>
              <w:top w:val="single" w:color="auto" w:sz="10" w:space="0"/>
              <w:left w:val="single" w:color="auto" w:sz="10" w:space="0"/>
              <w:bottom w:val="single" w:color="auto" w:sz="10" w:space="0"/>
              <w:right w:val="single" w:color="auto" w:sz="10" w:space="0"/>
              <w:insideV w:val="single" w:sz="10" w:space="0"/>
            </w:tcBorders>
            <w:vAlign w:val="center"/>
          </w:tcPr>
          <w:p w14:paraId="1351D23A">
            <w:pPr>
              <w:snapToGrid w:val="0"/>
              <w:jc w:val="center"/>
            </w:pPr>
            <w:r>
              <w:rPr>
                <w:rFonts w:ascii="宋体" w:hAnsi="宋体" w:eastAsia="宋体"/>
                <w:sz w:val="16"/>
              </w:rPr>
              <w:t>满意度指标</w:t>
            </w:r>
          </w:p>
        </w:tc>
        <w:tc>
          <w:tcPr>
            <w:tcW w:w="577" w:type="pct"/>
            <w:tcBorders>
              <w:top w:val="single" w:color="auto" w:sz="10" w:space="0"/>
              <w:left w:val="single" w:color="auto" w:sz="10" w:space="0"/>
              <w:bottom w:val="single" w:color="auto" w:sz="10" w:space="0"/>
              <w:right w:val="single" w:color="auto" w:sz="10" w:space="0"/>
              <w:insideV w:val="single" w:sz="10" w:space="0"/>
            </w:tcBorders>
            <w:vAlign w:val="center"/>
          </w:tcPr>
          <w:p w14:paraId="3AADE87D">
            <w:pPr>
              <w:snapToGrid w:val="0"/>
              <w:jc w:val="center"/>
            </w:pPr>
            <w:r>
              <w:rPr>
                <w:rFonts w:ascii="宋体" w:hAnsi="宋体" w:eastAsia="宋体"/>
                <w:sz w:val="16"/>
              </w:rPr>
              <w:t>服务对象满意度</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3A2A11CE">
            <w:pPr>
              <w:snapToGrid w:val="0"/>
              <w:jc w:val="center"/>
            </w:pPr>
            <w:r>
              <w:rPr>
                <w:rFonts w:ascii="宋体" w:hAnsi="宋体" w:eastAsia="宋体"/>
                <w:sz w:val="16"/>
              </w:rPr>
              <w:t>10</w:t>
            </w:r>
          </w:p>
        </w:tc>
        <w:tc>
          <w:tcPr>
            <w:tcW w:w="481" w:type="pct"/>
            <w:tcBorders>
              <w:top w:val="single" w:color="auto" w:sz="10" w:space="0"/>
              <w:left w:val="single" w:color="auto" w:sz="10" w:space="0"/>
              <w:bottom w:val="single" w:color="auto" w:sz="10" w:space="0"/>
              <w:right w:val="single" w:color="auto" w:sz="10" w:space="0"/>
              <w:insideV w:val="single" w:sz="10" w:space="0"/>
            </w:tcBorders>
            <w:vAlign w:val="center"/>
          </w:tcPr>
          <w:p w14:paraId="3F65B000">
            <w:pPr>
              <w:snapToGrid w:val="0"/>
              <w:jc w:val="center"/>
            </w:pPr>
            <w:r>
              <w:rPr>
                <w:rFonts w:ascii="宋体" w:hAnsi="宋体" w:eastAsia="宋体"/>
                <w:sz w:val="16"/>
              </w:rPr>
              <w:t>&gt;=95%</w:t>
            </w:r>
          </w:p>
        </w:tc>
        <w:tc>
          <w:tcPr>
            <w:tcW w:w="434" w:type="pct"/>
            <w:tcBorders>
              <w:top w:val="single" w:color="auto" w:sz="10" w:space="0"/>
              <w:left w:val="single" w:color="auto" w:sz="10" w:space="0"/>
              <w:bottom w:val="single" w:color="auto" w:sz="10" w:space="0"/>
              <w:right w:val="single" w:color="auto" w:sz="10" w:space="0"/>
              <w:insideV w:val="single" w:sz="10" w:space="0"/>
            </w:tcBorders>
            <w:vAlign w:val="center"/>
          </w:tcPr>
          <w:p w14:paraId="2FC7DB3C">
            <w:pPr>
              <w:snapToGrid w:val="0"/>
              <w:jc w:val="center"/>
            </w:pPr>
            <w:r>
              <w:rPr>
                <w:rFonts w:ascii="宋体" w:hAnsi="宋体" w:eastAsia="宋体"/>
                <w:sz w:val="16"/>
              </w:rPr>
              <w:t>100%</w:t>
            </w:r>
          </w:p>
        </w:tc>
        <w:tc>
          <w:tcPr>
            <w:tcW w:w="351" w:type="pct"/>
            <w:tcBorders>
              <w:top w:val="single" w:color="auto" w:sz="10" w:space="0"/>
              <w:left w:val="single" w:color="auto" w:sz="10" w:space="0"/>
              <w:bottom w:val="single" w:color="auto" w:sz="10" w:space="0"/>
              <w:right w:val="single" w:color="auto" w:sz="10" w:space="0"/>
              <w:insideV w:val="single" w:sz="10" w:space="0"/>
            </w:tcBorders>
            <w:vAlign w:val="center"/>
          </w:tcPr>
          <w:p w14:paraId="0CF9123B">
            <w:pPr>
              <w:snapToGrid w:val="0"/>
              <w:jc w:val="center"/>
            </w:pPr>
            <w:r>
              <w:rPr>
                <w:rFonts w:ascii="宋体" w:hAnsi="宋体" w:eastAsia="宋体"/>
                <w:sz w:val="16"/>
              </w:rPr>
              <w:t>105%</w:t>
            </w: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0D573115">
            <w:pPr>
              <w:snapToGrid w:val="0"/>
              <w:jc w:val="center"/>
            </w:pPr>
            <w:r>
              <w:rPr>
                <w:rFonts w:ascii="宋体" w:hAnsi="宋体" w:eastAsia="宋体"/>
                <w:sz w:val="16"/>
              </w:rPr>
              <w:t>10</w:t>
            </w:r>
          </w:p>
        </w:tc>
        <w:tc>
          <w:tcPr>
            <w:tcW w:w="282" w:type="pct"/>
            <w:tcBorders>
              <w:top w:val="single" w:color="auto" w:sz="10" w:space="0"/>
              <w:left w:val="single" w:color="auto" w:sz="10" w:space="0"/>
              <w:bottom w:val="single" w:color="auto" w:sz="10" w:space="0"/>
              <w:right w:val="single" w:color="auto" w:sz="10" w:space="0"/>
              <w:insideV w:val="single" w:sz="10" w:space="0"/>
            </w:tcBorders>
            <w:vAlign w:val="center"/>
          </w:tcPr>
          <w:p w14:paraId="0DFF9D6E">
            <w:pPr>
              <w:snapToGrid w:val="0"/>
              <w:jc w:val="center"/>
            </w:pPr>
            <w:r>
              <w:rPr>
                <w:rFonts w:ascii="宋体" w:hAnsi="宋体" w:eastAsia="宋体"/>
                <w:sz w:val="16"/>
              </w:rPr>
              <w:t>计划标准</w:t>
            </w:r>
          </w:p>
        </w:tc>
        <w:tc>
          <w:tcPr>
            <w:tcW w:w="273" w:type="pct"/>
            <w:tcBorders>
              <w:top w:val="single" w:color="auto" w:sz="10" w:space="0"/>
              <w:left w:val="single" w:color="auto" w:sz="10" w:space="0"/>
              <w:bottom w:val="single" w:color="auto" w:sz="10" w:space="0"/>
              <w:right w:val="single" w:color="auto" w:sz="10" w:space="0"/>
              <w:insideV w:val="single" w:sz="10" w:space="0"/>
            </w:tcBorders>
            <w:vAlign w:val="center"/>
          </w:tcPr>
          <w:p w14:paraId="09188C5F">
            <w:pPr>
              <w:snapToGrid w:val="0"/>
              <w:jc w:val="center"/>
            </w:pPr>
            <w:r>
              <w:rPr>
                <w:rFonts w:ascii="宋体" w:hAnsi="宋体" w:eastAsia="宋体"/>
                <w:sz w:val="16"/>
              </w:rPr>
              <w:t>-</w:t>
            </w:r>
          </w:p>
        </w:tc>
        <w:tc>
          <w:tcPr>
            <w:tcW w:w="301" w:type="pct"/>
            <w:tcBorders>
              <w:top w:val="single" w:color="auto" w:sz="10" w:space="0"/>
              <w:left w:val="single" w:color="auto" w:sz="10" w:space="0"/>
              <w:bottom w:val="single" w:color="auto" w:sz="10" w:space="0"/>
              <w:right w:val="single" w:color="auto" w:sz="10" w:space="0"/>
              <w:insideV w:val="single" w:sz="10" w:space="0"/>
            </w:tcBorders>
            <w:vAlign w:val="center"/>
          </w:tcPr>
          <w:p w14:paraId="5762C256">
            <w:pPr>
              <w:snapToGrid w:val="0"/>
              <w:jc w:val="center"/>
            </w:pPr>
            <w:r>
              <w:rPr>
                <w:rFonts w:ascii="宋体" w:hAnsi="宋体" w:eastAsia="宋体"/>
                <w:sz w:val="16"/>
              </w:rPr>
              <w:t>满意度赋分</w:t>
            </w:r>
          </w:p>
        </w:tc>
        <w:tc>
          <w:tcPr>
            <w:tcW w:w="257" w:type="pct"/>
            <w:tcBorders>
              <w:top w:val="single" w:color="auto" w:sz="10" w:space="0"/>
              <w:left w:val="single" w:color="auto" w:sz="10" w:space="0"/>
              <w:bottom w:val="single" w:color="auto" w:sz="10" w:space="0"/>
              <w:right w:val="single" w:color="auto" w:sz="10" w:space="0"/>
              <w:insideV w:val="single" w:sz="10" w:space="0"/>
            </w:tcBorders>
            <w:vAlign w:val="center"/>
          </w:tcPr>
          <w:p w14:paraId="09054720">
            <w:pPr>
              <w:snapToGrid w:val="0"/>
              <w:jc w:val="center"/>
            </w:pPr>
            <w:r>
              <w:rPr>
                <w:rFonts w:ascii="宋体" w:hAnsi="宋体" w:eastAsia="宋体"/>
                <w:sz w:val="16"/>
              </w:rPr>
              <w:t>工作资料</w:t>
            </w:r>
          </w:p>
        </w:tc>
        <w:tc>
          <w:tcPr>
            <w:tcW w:w="507" w:type="pct"/>
            <w:tcBorders>
              <w:top w:val="single" w:color="auto" w:sz="10" w:space="0"/>
              <w:left w:val="single" w:color="auto" w:sz="10" w:space="0"/>
              <w:bottom w:val="single" w:color="auto" w:sz="10" w:space="0"/>
              <w:right w:val="single" w:color="auto" w:sz="10" w:space="0"/>
              <w:insideV w:val="single" w:sz="10" w:space="0"/>
            </w:tcBorders>
            <w:vAlign w:val="center"/>
          </w:tcPr>
          <w:p w14:paraId="2A170A16">
            <w:pPr>
              <w:snapToGrid w:val="0"/>
              <w:jc w:val="center"/>
            </w:pPr>
            <w:r>
              <w:rPr>
                <w:rFonts w:ascii="宋体" w:hAnsi="宋体" w:eastAsia="宋体"/>
                <w:sz w:val="16"/>
              </w:rPr>
              <w:t>年初制定绩效目标时预期值设置偏低</w:t>
            </w:r>
          </w:p>
        </w:tc>
      </w:tr>
      <w:tr w14:paraId="6CE64D59">
        <w:tblPrEx>
          <w:tblCellMar>
            <w:top w:w="0" w:type="dxa"/>
            <w:left w:w="108" w:type="dxa"/>
            <w:bottom w:w="0" w:type="dxa"/>
            <w:right w:w="108" w:type="dxa"/>
          </w:tblCellMar>
        </w:tblPrEx>
        <w:trPr>
          <w:trHeight w:val="689" w:hRule="atLeast"/>
          <w:jc w:val="center"/>
        </w:trPr>
        <w:tc>
          <w:tcPr>
            <w:tcW w:w="1528" w:type="pct"/>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943D53">
            <w:pPr>
              <w:snapToGrid w:val="0"/>
              <w:jc w:val="center"/>
            </w:pPr>
            <w:r>
              <w:rPr>
                <w:rFonts w:ascii="宋体" w:hAnsi="宋体" w:eastAsia="宋体"/>
                <w:sz w:val="16"/>
              </w:rPr>
              <w:t>总分</w:t>
            </w: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48C4A7C1">
            <w:pPr>
              <w:snapToGrid w:val="0"/>
              <w:jc w:val="center"/>
            </w:pPr>
            <w:r>
              <w:rPr>
                <w:rFonts w:ascii="宋体" w:hAnsi="宋体" w:eastAsia="宋体"/>
                <w:sz w:val="16"/>
              </w:rPr>
              <w:t>100</w:t>
            </w:r>
          </w:p>
        </w:tc>
        <w:tc>
          <w:tcPr>
            <w:tcW w:w="481" w:type="pct"/>
            <w:tcBorders>
              <w:top w:val="single" w:color="auto" w:sz="10" w:space="0"/>
              <w:left w:val="single" w:color="auto" w:sz="10" w:space="0"/>
              <w:bottom w:val="single" w:color="auto" w:sz="10" w:space="0"/>
              <w:right w:val="single" w:color="auto" w:sz="10" w:space="0"/>
              <w:insideV w:val="single" w:sz="10" w:space="0"/>
            </w:tcBorders>
          </w:tcPr>
          <w:p w14:paraId="7AC9A61D">
            <w:pPr>
              <w:snapToGrid w:val="0"/>
            </w:pPr>
          </w:p>
        </w:tc>
        <w:tc>
          <w:tcPr>
            <w:tcW w:w="434" w:type="pct"/>
            <w:tcBorders>
              <w:top w:val="single" w:color="auto" w:sz="10" w:space="0"/>
              <w:left w:val="single" w:color="auto" w:sz="10" w:space="0"/>
              <w:bottom w:val="single" w:color="auto" w:sz="10" w:space="0"/>
              <w:right w:val="single" w:color="auto" w:sz="10" w:space="0"/>
              <w:insideV w:val="single" w:sz="10" w:space="0"/>
            </w:tcBorders>
          </w:tcPr>
          <w:p w14:paraId="5F3A99D5">
            <w:pPr>
              <w:snapToGrid w:val="0"/>
            </w:pPr>
          </w:p>
        </w:tc>
        <w:tc>
          <w:tcPr>
            <w:tcW w:w="351" w:type="pct"/>
            <w:tcBorders>
              <w:top w:val="single" w:color="auto" w:sz="10" w:space="0"/>
              <w:left w:val="single" w:color="auto" w:sz="10" w:space="0"/>
              <w:bottom w:val="single" w:color="auto" w:sz="10" w:space="0"/>
              <w:right w:val="single" w:color="auto" w:sz="10" w:space="0"/>
              <w:insideV w:val="single" w:sz="10" w:space="0"/>
            </w:tcBorders>
          </w:tcPr>
          <w:p w14:paraId="509825C5">
            <w:pPr>
              <w:snapToGrid w:val="0"/>
            </w:pPr>
          </w:p>
        </w:tc>
        <w:tc>
          <w:tcPr>
            <w:tcW w:w="292" w:type="pct"/>
            <w:tcBorders>
              <w:top w:val="single" w:color="auto" w:sz="10" w:space="0"/>
              <w:left w:val="single" w:color="auto" w:sz="10" w:space="0"/>
              <w:bottom w:val="single" w:color="auto" w:sz="10" w:space="0"/>
              <w:right w:val="single" w:color="auto" w:sz="10" w:space="0"/>
              <w:insideV w:val="single" w:sz="10" w:space="0"/>
            </w:tcBorders>
            <w:vAlign w:val="center"/>
          </w:tcPr>
          <w:p w14:paraId="6FFBAA78">
            <w:pPr>
              <w:snapToGrid w:val="0"/>
              <w:jc w:val="center"/>
            </w:pPr>
            <w:r>
              <w:rPr>
                <w:rFonts w:ascii="宋体" w:hAnsi="宋体" w:eastAsia="宋体"/>
                <w:sz w:val="16"/>
              </w:rPr>
              <w:t>100分</w:t>
            </w:r>
          </w:p>
        </w:tc>
        <w:tc>
          <w:tcPr>
            <w:tcW w:w="282" w:type="pct"/>
            <w:tcBorders>
              <w:top w:val="single" w:color="auto" w:sz="10" w:space="0"/>
              <w:left w:val="single" w:color="auto" w:sz="10" w:space="0"/>
              <w:bottom w:val="single" w:color="auto" w:sz="10" w:space="0"/>
              <w:right w:val="single" w:color="auto" w:sz="10" w:space="0"/>
              <w:insideV w:val="single" w:sz="10" w:space="0"/>
            </w:tcBorders>
          </w:tcPr>
          <w:p w14:paraId="5C5FC43F">
            <w:pPr>
              <w:snapToGrid w:val="0"/>
            </w:pPr>
          </w:p>
        </w:tc>
        <w:tc>
          <w:tcPr>
            <w:tcW w:w="273" w:type="pct"/>
            <w:tcBorders>
              <w:top w:val="single" w:color="auto" w:sz="10" w:space="0"/>
              <w:left w:val="single" w:color="auto" w:sz="10" w:space="0"/>
              <w:bottom w:val="single" w:color="auto" w:sz="10" w:space="0"/>
              <w:right w:val="single" w:color="auto" w:sz="10" w:space="0"/>
              <w:insideV w:val="single" w:sz="10" w:space="0"/>
            </w:tcBorders>
          </w:tcPr>
          <w:p w14:paraId="677224AF">
            <w:pPr>
              <w:snapToGrid w:val="0"/>
            </w:pPr>
          </w:p>
        </w:tc>
        <w:tc>
          <w:tcPr>
            <w:tcW w:w="301" w:type="pct"/>
            <w:tcBorders>
              <w:top w:val="single" w:color="auto" w:sz="10" w:space="0"/>
              <w:left w:val="single" w:color="auto" w:sz="10" w:space="0"/>
              <w:bottom w:val="single" w:color="auto" w:sz="10" w:space="0"/>
              <w:right w:val="single" w:color="auto" w:sz="10" w:space="0"/>
              <w:insideV w:val="single" w:sz="10" w:space="0"/>
            </w:tcBorders>
          </w:tcPr>
          <w:p w14:paraId="2AD5EB13">
            <w:pPr>
              <w:snapToGrid w:val="0"/>
            </w:pPr>
          </w:p>
        </w:tc>
        <w:tc>
          <w:tcPr>
            <w:tcW w:w="257" w:type="pct"/>
            <w:tcBorders>
              <w:top w:val="single" w:color="auto" w:sz="10" w:space="0"/>
              <w:left w:val="single" w:color="auto" w:sz="10" w:space="0"/>
              <w:bottom w:val="single" w:color="auto" w:sz="10" w:space="0"/>
              <w:right w:val="single" w:color="auto" w:sz="10" w:space="0"/>
              <w:insideV w:val="single" w:sz="10" w:space="0"/>
            </w:tcBorders>
          </w:tcPr>
          <w:p w14:paraId="61923ACE">
            <w:pPr>
              <w:snapToGrid w:val="0"/>
            </w:pPr>
          </w:p>
        </w:tc>
        <w:tc>
          <w:tcPr>
            <w:tcW w:w="507" w:type="pct"/>
            <w:tcBorders>
              <w:top w:val="single" w:color="auto" w:sz="10" w:space="0"/>
              <w:left w:val="single" w:color="auto" w:sz="10" w:space="0"/>
              <w:bottom w:val="single" w:color="auto" w:sz="10" w:space="0"/>
              <w:right w:val="single" w:color="auto" w:sz="10" w:space="0"/>
              <w:insideV w:val="single" w:sz="10" w:space="0"/>
            </w:tcBorders>
          </w:tcPr>
          <w:p w14:paraId="75503499">
            <w:pPr>
              <w:snapToGrid w:val="0"/>
            </w:pPr>
          </w:p>
        </w:tc>
      </w:tr>
    </w:tbl>
    <w:p w14:paraId="56097F0E">
      <w:r>
        <w:br w:type="page"/>
      </w:r>
    </w:p>
    <w:p w14:paraId="0AF0C3DF">
      <w:pPr>
        <w:spacing w:line="640" w:lineRule="exact"/>
        <w:ind w:firstLine="640"/>
        <w:jc w:val="both"/>
        <w:outlineLvl w:val="2"/>
      </w:pPr>
      <w:r>
        <w:rPr>
          <w:rFonts w:ascii="黑体" w:hAnsi="黑体" w:eastAsia="黑体"/>
          <w:sz w:val="32"/>
        </w:rPr>
        <w:t>十二、其他需说明的事项</w:t>
      </w:r>
    </w:p>
    <w:p w14:paraId="69BAB8B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185A4DF">
      <w:r>
        <w:br w:type="page"/>
      </w:r>
    </w:p>
    <w:p w14:paraId="3F0475C9">
      <w:pPr>
        <w:spacing w:line="240" w:lineRule="auto"/>
        <w:jc w:val="center"/>
        <w:outlineLvl w:val="1"/>
      </w:pPr>
      <w:r>
        <w:rPr>
          <w:rFonts w:ascii="黑体" w:hAnsi="黑体" w:eastAsia="黑体"/>
          <w:sz w:val="32"/>
        </w:rPr>
        <w:t>第三部分 专业名词解释</w:t>
      </w:r>
    </w:p>
    <w:p w14:paraId="491BCD2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C5F96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202FA93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7B52EF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5D57A6E">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4129FA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ACE628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1A306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18EB9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FCFF2D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F1D48A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4927E6F">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41AE87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283A3A8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9FF82D8">
      <w:r>
        <w:br w:type="page"/>
      </w:r>
    </w:p>
    <w:p w14:paraId="7A370AF1">
      <w:pPr>
        <w:spacing w:line="240" w:lineRule="auto"/>
        <w:jc w:val="center"/>
        <w:outlineLvl w:val="1"/>
      </w:pPr>
      <w:r>
        <w:rPr>
          <w:rFonts w:ascii="黑体" w:hAnsi="黑体" w:eastAsia="黑体"/>
          <w:sz w:val="32"/>
        </w:rPr>
        <w:t>第四部分 部门决算报表（见附表）</w:t>
      </w:r>
    </w:p>
    <w:p w14:paraId="5A7F56A9">
      <w:pPr>
        <w:spacing w:line="240" w:lineRule="auto"/>
        <w:ind w:firstLine="640"/>
        <w:jc w:val="both"/>
      </w:pPr>
      <w:r>
        <w:rPr>
          <w:rFonts w:ascii="仿宋_GB2312" w:hAnsi="仿宋_GB2312" w:eastAsia="仿宋_GB2312"/>
          <w:b w:val="0"/>
          <w:sz w:val="32"/>
        </w:rPr>
        <w:t>一、《收入支出决算总表》</w:t>
      </w:r>
    </w:p>
    <w:p w14:paraId="5848CFC7">
      <w:pPr>
        <w:spacing w:line="240" w:lineRule="auto"/>
        <w:ind w:firstLine="640"/>
        <w:jc w:val="both"/>
      </w:pPr>
      <w:r>
        <w:rPr>
          <w:rFonts w:ascii="仿宋_GB2312" w:hAnsi="仿宋_GB2312" w:eastAsia="仿宋_GB2312"/>
          <w:b w:val="0"/>
          <w:sz w:val="32"/>
        </w:rPr>
        <w:t>二、《收入决算表》</w:t>
      </w:r>
    </w:p>
    <w:p w14:paraId="6477561A">
      <w:pPr>
        <w:spacing w:line="240" w:lineRule="auto"/>
        <w:ind w:firstLine="640"/>
        <w:jc w:val="both"/>
      </w:pPr>
      <w:r>
        <w:rPr>
          <w:rFonts w:ascii="仿宋_GB2312" w:hAnsi="仿宋_GB2312" w:eastAsia="仿宋_GB2312"/>
          <w:b w:val="0"/>
          <w:sz w:val="32"/>
        </w:rPr>
        <w:t>三、《支出决算表》</w:t>
      </w:r>
    </w:p>
    <w:p w14:paraId="162670F1">
      <w:pPr>
        <w:spacing w:line="240" w:lineRule="auto"/>
        <w:ind w:firstLine="640"/>
        <w:jc w:val="both"/>
      </w:pPr>
      <w:r>
        <w:rPr>
          <w:rFonts w:ascii="仿宋_GB2312" w:hAnsi="仿宋_GB2312" w:eastAsia="仿宋_GB2312"/>
          <w:b w:val="0"/>
          <w:sz w:val="32"/>
        </w:rPr>
        <w:t>四、《财政拨款收入支出决算总表》</w:t>
      </w:r>
    </w:p>
    <w:p w14:paraId="43B98E52">
      <w:pPr>
        <w:spacing w:line="240" w:lineRule="auto"/>
        <w:ind w:firstLine="640"/>
        <w:jc w:val="both"/>
      </w:pPr>
      <w:r>
        <w:rPr>
          <w:rFonts w:ascii="仿宋_GB2312" w:hAnsi="仿宋_GB2312" w:eastAsia="仿宋_GB2312"/>
          <w:b w:val="0"/>
          <w:sz w:val="32"/>
        </w:rPr>
        <w:t>五、《一般公共预算财政拨款支出决算表》</w:t>
      </w:r>
    </w:p>
    <w:p w14:paraId="4EAAF01D">
      <w:pPr>
        <w:spacing w:line="240" w:lineRule="auto"/>
        <w:ind w:firstLine="640"/>
        <w:jc w:val="both"/>
      </w:pPr>
      <w:r>
        <w:rPr>
          <w:rFonts w:ascii="仿宋_GB2312" w:hAnsi="仿宋_GB2312" w:eastAsia="仿宋_GB2312"/>
          <w:b w:val="0"/>
          <w:sz w:val="32"/>
        </w:rPr>
        <w:t>六、《一般公共预算财政拨款基本支出决算表》</w:t>
      </w:r>
    </w:p>
    <w:p w14:paraId="2EABC061">
      <w:pPr>
        <w:spacing w:line="240" w:lineRule="auto"/>
        <w:ind w:firstLine="640"/>
        <w:jc w:val="both"/>
      </w:pPr>
      <w:r>
        <w:rPr>
          <w:rFonts w:ascii="仿宋_GB2312" w:hAnsi="仿宋_GB2312" w:eastAsia="仿宋_GB2312"/>
          <w:b w:val="0"/>
          <w:sz w:val="32"/>
        </w:rPr>
        <w:t>七、《政府性基金预算财政拨款收入支出决算表》</w:t>
      </w:r>
    </w:p>
    <w:p w14:paraId="0978605B">
      <w:pPr>
        <w:spacing w:line="240" w:lineRule="auto"/>
        <w:ind w:firstLine="640"/>
        <w:jc w:val="both"/>
      </w:pPr>
      <w:r>
        <w:rPr>
          <w:rFonts w:ascii="仿宋_GB2312" w:hAnsi="仿宋_GB2312" w:eastAsia="仿宋_GB2312"/>
          <w:b w:val="0"/>
          <w:sz w:val="32"/>
        </w:rPr>
        <w:t>八、《国有资本经营预算财政拨款收入支出决算表》</w:t>
      </w:r>
    </w:p>
    <w:p w14:paraId="66C59E7A">
      <w:pPr>
        <w:spacing w:line="240" w:lineRule="auto"/>
        <w:ind w:firstLine="640"/>
        <w:jc w:val="both"/>
      </w:pPr>
      <w:r>
        <w:rPr>
          <w:rFonts w:ascii="仿宋_GB2312" w:hAnsi="仿宋_GB2312" w:eastAsia="仿宋_GB2312"/>
          <w:b w:val="0"/>
          <w:sz w:val="32"/>
        </w:rPr>
        <w:t>九、《财政拨款“三公”经费支出决算表》</w:t>
      </w:r>
    </w:p>
    <w:p w14:paraId="2773C895">
      <w:pPr>
        <w:spacing w:line="240" w:lineRule="auto"/>
        <w:ind w:firstLine="640"/>
        <w:jc w:val="both"/>
      </w:pPr>
    </w:p>
    <w:p w14:paraId="7793D399">
      <w:pPr>
        <w:spacing w:line="240" w:lineRule="auto"/>
        <w:ind w:firstLine="640"/>
        <w:jc w:val="both"/>
      </w:pPr>
    </w:p>
    <w:p w14:paraId="7DAF1A03">
      <w:pPr>
        <w:spacing w:line="240" w:lineRule="auto"/>
        <w:ind w:firstLine="640"/>
        <w:jc w:val="both"/>
      </w:pPr>
    </w:p>
    <w:p w14:paraId="6888821D">
      <w:pPr>
        <w:spacing w:line="240" w:lineRule="auto"/>
        <w:ind w:firstLine="640"/>
        <w:jc w:val="both"/>
      </w:pPr>
    </w:p>
    <w:p w14:paraId="6031297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6F2D97-2769-4333-8420-F19E45054A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92965C7-3692-422D-A7B4-66336482930A}"/>
  </w:font>
  <w:font w:name="仿宋_GB2312">
    <w:panose1 w:val="02010609030101010101"/>
    <w:charset w:val="86"/>
    <w:family w:val="auto"/>
    <w:pitch w:val="default"/>
    <w:sig w:usb0="00000001" w:usb1="080E0000" w:usb2="00000000" w:usb3="00000000" w:csb0="00040000" w:csb1="00000000"/>
    <w:embedRegular r:id="rId3" w:fontKey="{D9212448-9D28-4E96-81C2-BDCD0B5E6F3F}"/>
  </w:font>
  <w:font w:name="楷体_GB2312">
    <w:panose1 w:val="02010609030101010101"/>
    <w:charset w:val="86"/>
    <w:family w:val="auto"/>
    <w:pitch w:val="default"/>
    <w:sig w:usb0="00000001" w:usb1="080E0000" w:usb2="00000000" w:usb3="00000000" w:csb0="00040000" w:csb1="00000000"/>
    <w:embedRegular r:id="rId4" w:fontKey="{773EA1B9-BFFB-4DB4-8715-245E31FF89E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1A7A1E"/>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A9C2D26"/>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881E17"/>
    <w:rsid w:val="4F3F074E"/>
    <w:rsid w:val="4F77119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425E80"/>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81509f75-5b0d-44cf-9dc7-4719dd0bd886</errorID>
      <errorWord>驻村</errorWord>
      <group>L1_Sensitive</group>
      <groupName>敏感问题</groupName>
      <ability>L2_UserSensitive</ability>
      <abilityName>自定义敏感词</abilityName>
      <candidateList/>
      <explain>来自自定义敏感词库。</explain>
      <paraID>3A784DEB</paraID>
      <start>140</start>
      <end>142</end>
      <status>unmodified</status>
      <modifiedWord/>
      <trackRevisions>false</trackRevisions>
    </reviewItem>
    <reviewItem>
      <errorID>0c499e41-c5eb-42e8-b24b-829a5aab5202</errorID>
      <errorWord>民族团结一家亲</errorWord>
      <group>L1_Sensitive</group>
      <groupName>敏感问题</groupName>
      <ability>L2_UserSensitive</ability>
      <abilityName>自定义敏感词</abilityName>
      <candidateList/>
      <explain>来自自定义敏感词库。</explain>
      <paraID>3A784DEB</paraID>
      <start>156</start>
      <end>163</end>
      <status>unmodified</status>
      <modifiedWord/>
      <trackRevisions>false</trackRevisions>
    </reviewItem>
    <reviewItem>
      <errorID>9ecb9270-4814-49e5-9dbf-c8a8b8848cd3</errorID>
      <errorWord>计划生育</errorWord>
      <group>L1_Sensitive</group>
      <groupName>敏感问题</groupName>
      <ability>L2_UserSensitive</ability>
      <abilityName>自定义敏感词</abilityName>
      <candidateList/>
      <explain>来自自定义敏感词库。</explain>
      <paraID>281606E5</paraID>
      <start>12</start>
      <end>16</end>
      <status>unmodified</status>
      <modifiedWord/>
      <trackRevisions>false</trackRevisions>
    </reviewItem>
    <reviewItem>
      <errorID>57890dbf-b3ac-46e4-96f3-7913a9a18c84</errorID>
      <errorWord>计划生育</errorWord>
      <group>L1_Sensitive</group>
      <groupName>敏感问题</groupName>
      <ability>L2_UserSensitive</ability>
      <abilityName>自定义敏感词</abilityName>
      <candidateList/>
      <explain>来自自定义敏感词库。</explain>
      <paraID>281606E5</paraID>
      <start>23</start>
      <end>27</end>
      <status>unmodified</status>
      <modifiedWord/>
      <trackRevisions>false</trackRevisions>
    </reviewItem>
    <reviewItem>
      <errorID>7ff5434e-9a34-4542-9726-1701d13d4f6c</errorID>
      <errorWord>巩固脱贫攻坚成果</errorWord>
      <group>L1_Other</group>
      <groupName>其他问题</groupName>
      <ability>L2_UserTypo</ability>
      <abilityName>自定义错误</abilityName>
      <candidateList>
        <item>巩固拓展脱贫攻坚成果</item>
      </candidateList>
      <explain>来自自定义错词库。</explain>
      <paraID> 33A1FA5</paraID>
      <start>11</start>
      <end>19</end>
      <status>unmodified</status>
      <modifiedWord/>
      <trackRevisions>false</trackRevisions>
    </reviewItem>
    <reviewItem>
      <errorID>12d2973c-72e3-4c21-a78b-5685ebcf7f25</errorID>
      <errorWord>巩固脱贫攻坚成果</errorWord>
      <group>L1_Other</group>
      <groupName>其他问题</groupName>
      <ability>L2_UserTypo</ability>
      <abilityName>自定义错误</abilityName>
      <candidateList>
        <item>巩固拓展脱贫攻坚成果</item>
      </candidateList>
      <explain>来自自定义错词库。</explain>
      <paraID>73C375AB</paraID>
      <start>11</start>
      <end>19</end>
      <status>unmodified</status>
      <modifiedWord/>
      <trackRevisions>false</trackRevisions>
    </reviewItem>
    <reviewItem>
      <errorID>648e14e3-4e74-496f-b18a-7e296a090540</errorID>
      <errorWord>巩固脱贫攻坚成果</errorWord>
      <group>L1_Other</group>
      <groupName>其他问题</groupName>
      <ability>L2_UserTypo</ability>
      <abilityName>自定义错误</abilityName>
      <candidateList>
        <item>巩固拓展脱贫攻坚成果</item>
      </candidateList>
      <explain>来自自定义错词库。</explain>
      <paraID>3211416A</paraID>
      <start>11</start>
      <end>19</end>
      <status>unmodified</status>
      <modifiedWord/>
      <trackRevisions>false</trackRevisions>
    </reviewItem>
    <reviewItem>
      <errorID>32795807-5d83-4651-b81b-957b60d8ff7b</errorID>
      <errorWord>巩固脱贫攻坚成果</errorWord>
      <group>L1_Other</group>
      <groupName>其他问题</groupName>
      <ability>L2_UserTypo</ability>
      <abilityName>自定义错误</abilityName>
      <candidateList>
        <item>巩固拓展脱贫攻坚成果</item>
      </candidateList>
      <explain>来自自定义错词库。</explain>
      <paraID>3211416A</paraID>
      <start>30</start>
      <end>38</end>
      <status>unmodified</status>
      <modifiedWord/>
      <trackRevisions>false</trackRevisions>
    </reviewItem>
    <reviewItem>
      <errorID>4072785e-0312-4a2f-b1e1-51d9f1d4bbaf</errorID>
      <errorWord>拆迁补偿</errorWord>
      <group>L1_Sensitive</group>
      <groupName>敏感问题</groupName>
      <ability>L2_UserSensitive</ability>
      <abilityName>自定义敏感词</abilityName>
      <candidateList/>
      <explain>来自自定义敏感词库。</explain>
      <paraID>5540A419</paraID>
      <start>33</start>
      <end>37</end>
      <status>unmodified</status>
      <modifiedWord/>
      <trackRevisions>false</trackRevisions>
    </reviewItem>
    <reviewItem>
      <errorID>3cdbab38-c3f3-4732-91b9-3db88ce1a63f</errorID>
      <errorWord>2月31日</errorWord>
      <group>L1_Sensitive</group>
      <groupName>敏感问题</groupName>
      <ability>L2_UserSensitive</ability>
      <abilityName>自定义敏感词</abilityName>
      <candidateList/>
      <explain>来自自定义敏感词库。</explain>
      <paraID>7C82F6F7</paraID>
      <start>8</start>
      <end>13</end>
      <status>unmodified</status>
      <modifiedWord/>
      <trackRevisions>false</trackRevisions>
    </reviewItem>
    <reviewItem>
      <errorID>6767034f-96a1-4c64-a4a2-cd8453843f15</errorID>
      <errorWord>监控</errorWord>
      <group>L1_Sensitive</group>
      <groupName>敏感问题</groupName>
      <ability>L2_UserSensitive</ability>
      <abilityName>自定义敏感词</abilityName>
      <candidateList/>
      <explain>来自自定义敏感词库。</explain>
      <paraID>62753D32</paraID>
      <start>320</start>
      <end>322</end>
      <status>unmodified</status>
      <modifiedWord/>
      <trackRevisions>false</trackRevisions>
    </reviewItem>
    <reviewItem>
      <errorID>dbe9374a-4804-430b-aef0-7d78ca78ad34</errorID>
      <errorWord>劳动力转移</errorWord>
      <group>L1_Sensitive</group>
      <groupName>敏感问题</groupName>
      <ability>L2_UserSensitive</ability>
      <abilityName>自定义敏感词</abilityName>
      <candidateList/>
      <explain>来自自定义敏感词库。</explain>
      <paraID>759C3706</paraID>
      <start>274</start>
      <end>279</end>
      <status>unmodified</status>
      <modifiedWord/>
      <trackRevisions>false</trackRevisions>
    </reviewItem>
    <reviewItem>
      <errorID>26e0698a-dd5d-4371-8d9e-d836a2c31497</errorID>
      <errorWord>劳动力转移</errorWord>
      <group>L1_Sensitive</group>
      <groupName>敏感问题</groupName>
      <ability>L2_UserSensitive</ability>
      <abilityName>自定义敏感词</abilityName>
      <candidateList/>
      <explain>来自自定义敏感词库。</explain>
      <paraID>1FBA1252</paraID>
      <start>78</start>
      <end>83</end>
      <status>unmodified</status>
      <modifiedWord/>
      <trackRevisions>false</trackRevisions>
    </reviewItem>
    <reviewItem>
      <errorID>d0f4f41e-6ad2-49c4-9e04-c7fb15180b11</errorID>
      <errorWord>劳动力转移</errorWord>
      <group>L1_Sensitive</group>
      <groupName>敏感问题</groupName>
      <ability>L2_UserSensitive</ability>
      <abilityName>自定义敏感词</abilityName>
      <candidateList/>
      <explain>来自自定义敏感词库。</explain>
      <paraID>533D809A</paraID>
      <start>4</start>
      <end>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8a9bcc-e6bc-4a32-b80d-86655a261b2f}">
  <ds:schemaRefs/>
</ds:datastoreItem>
</file>

<file path=docProps/app.xml><?xml version="1.0" encoding="utf-8"?>
<Properties xmlns="http://schemas.openxmlformats.org/officeDocument/2006/extended-properties" xmlns:vt="http://schemas.openxmlformats.org/officeDocument/2006/docPropsVTypes">
  <Template>Normal.dotm</Template>
  <Pages>34</Pages>
  <Words>8270</Words>
  <Characters>9456</Characters>
  <Lines>0</Lines>
  <Paragraphs>0</Paragraphs>
  <TotalTime>17</TotalTime>
  <ScaleCrop>false</ScaleCrop>
  <LinksUpToDate>false</LinksUpToDate>
  <CharactersWithSpaces>9464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