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特克斯县呼吉尔特蒙古族乡人民政府2024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CF1FEA">
      <w:r>
        <w:br w:type="page"/>
      </w:r>
    </w:p>
    <w:p w14:paraId="58AA11B2">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43A6D74">
      <w:pPr>
        <w:spacing w:line="640" w:lineRule="exact"/>
        <w:ind w:firstLine="640"/>
        <w:jc w:val="both"/>
        <w:outlineLvl w:val="2"/>
      </w:pPr>
      <w:r>
        <w:rPr>
          <w:rFonts w:ascii="黑体" w:hAnsi="黑体" w:eastAsia="黑体"/>
          <w:sz w:val="32"/>
        </w:rPr>
        <w:t>一、主要职能</w:t>
      </w:r>
    </w:p>
    <w:p w14:paraId="3CBA452F">
      <w:pPr>
        <w:spacing w:line="580" w:lineRule="exact"/>
        <w:ind w:firstLine="640"/>
        <w:jc w:val="both"/>
      </w:pPr>
      <w:r>
        <w:rPr>
          <w:rFonts w:ascii="仿宋_GB2312" w:hAnsi="仿宋_GB2312" w:eastAsia="仿宋_GB2312"/>
          <w:sz w:val="32"/>
        </w:rPr>
        <w:t>（1）党委：主要负责纪检、党务、组织、宣传、机构编制、人事、老干部等工作的规划、管理、协调和监督工作；负责宣传党的各项方针、政策；负责</w:t>
      </w:r>
      <w:r>
        <w:rPr>
          <w:rFonts w:hint="eastAsia" w:ascii="仿宋_GB2312" w:hAnsi="仿宋_GB2312" w:eastAsia="仿宋_GB2312"/>
          <w:sz w:val="32"/>
          <w:lang w:eastAsia="zh-CN"/>
        </w:rPr>
        <w:t>党的基层组织</w:t>
      </w:r>
      <w:r>
        <w:rPr>
          <w:rFonts w:ascii="仿宋_GB2312" w:hAnsi="仿宋_GB2312" w:eastAsia="仿宋_GB2312"/>
          <w:sz w:val="32"/>
        </w:rPr>
        <w:t>建设和党员队伍建设工作；负责党风廉政建设工作；加强党组织的自身建设，组织开展辖区居民的宣传、发动、服务工作；负责特殊群体的帮教帮扶、解决居民困难诉求等工作。</w:t>
      </w:r>
    </w:p>
    <w:p w14:paraId="1EEE3645">
      <w:pPr>
        <w:spacing w:line="580" w:lineRule="exact"/>
        <w:ind w:firstLine="640"/>
        <w:jc w:val="both"/>
      </w:pPr>
      <w:r>
        <w:rPr>
          <w:rFonts w:ascii="仿宋_GB2312" w:hAnsi="仿宋_GB2312" w:eastAsia="仿宋_GB2312"/>
          <w:sz w:val="32"/>
        </w:rPr>
        <w:t>（2）政府：主要负责文秘、档案、保密、翻译、综合协调、后勤保障等工作；负责制定乡机关各项工作制度并监督落实；负责乡机关效能建设及绩效考核；优化教育结构，加快教育体制改革，引导全社会卫生体育事业的发展，运用各种手段来调节社会分配、组织社会保障，以提高社会整体福利水平，最终实现共同富裕。促进社会化服务体系建立，提高人口质量。</w:t>
      </w:r>
    </w:p>
    <w:p w14:paraId="4C72FCC3">
      <w:pPr>
        <w:spacing w:line="580" w:lineRule="exact"/>
        <w:ind w:firstLine="640"/>
        <w:jc w:val="both"/>
      </w:pPr>
      <w:r>
        <w:rPr>
          <w:rFonts w:ascii="仿宋_GB2312" w:hAnsi="仿宋_GB2312" w:eastAsia="仿宋_GB2312"/>
          <w:sz w:val="32"/>
        </w:rPr>
        <w:t>（3）综合行政执法队：开展市场监管、文化市场、农业、交通运输、食品药品等领域日常执法检查，一般案件查处，依法相对集中</w:t>
      </w:r>
      <w:r>
        <w:rPr>
          <w:rFonts w:hint="eastAsia" w:ascii="仿宋_GB2312" w:hAnsi="仿宋_GB2312" w:eastAsia="仿宋_GB2312"/>
          <w:sz w:val="32"/>
          <w:lang w:eastAsia="zh-CN"/>
        </w:rPr>
        <w:t>行政</w:t>
      </w:r>
      <w:r>
        <w:rPr>
          <w:rFonts w:ascii="仿宋_GB2312" w:hAnsi="仿宋_GB2312" w:eastAsia="仿宋_GB2312"/>
          <w:sz w:val="32"/>
        </w:rPr>
        <w:t>处罚权，以乡名义开展执法工作，并接收接受有关县级主管部门的业务指导和监督。</w:t>
      </w:r>
    </w:p>
    <w:p w14:paraId="3D5F2177">
      <w:pPr>
        <w:spacing w:line="580" w:lineRule="exact"/>
        <w:ind w:firstLine="640"/>
        <w:jc w:val="both"/>
      </w:pPr>
      <w:r>
        <w:rPr>
          <w:rFonts w:ascii="仿宋_GB2312" w:hAnsi="仿宋_GB2312" w:eastAsia="仿宋_GB2312"/>
          <w:sz w:val="32"/>
        </w:rPr>
        <w:t>（4）农村合作经济（统计）发展中心：主要负责农村经济管理、财务管理等工作；负责农村集体经济，为农村集体经济健康发展提供保障和服务工作；负责乡政府财政预算决算的编制、办理各项收支结算和</w:t>
      </w:r>
      <w:r>
        <w:rPr>
          <w:rFonts w:hint="eastAsia" w:ascii="仿宋_GB2312" w:hAnsi="仿宋_GB2312" w:eastAsia="仿宋_GB2312"/>
          <w:sz w:val="32"/>
          <w:lang w:eastAsia="zh-CN"/>
        </w:rPr>
        <w:t>对账</w:t>
      </w:r>
      <w:r>
        <w:rPr>
          <w:rFonts w:ascii="仿宋_GB2312" w:hAnsi="仿宋_GB2312" w:eastAsia="仿宋_GB2312"/>
          <w:sz w:val="32"/>
        </w:rPr>
        <w:t>、</w:t>
      </w:r>
      <w:r>
        <w:rPr>
          <w:rFonts w:hint="eastAsia" w:ascii="仿宋_GB2312" w:hAnsi="仿宋_GB2312" w:eastAsia="仿宋_GB2312"/>
          <w:sz w:val="32"/>
          <w:lang w:eastAsia="zh-CN"/>
        </w:rPr>
        <w:t>报账工作</w:t>
      </w:r>
      <w:r>
        <w:rPr>
          <w:rFonts w:ascii="仿宋_GB2312" w:hAnsi="仿宋_GB2312" w:eastAsia="仿宋_GB2312"/>
          <w:sz w:val="32"/>
        </w:rPr>
        <w:t>；履行统计职责。</w:t>
      </w:r>
    </w:p>
    <w:p w14:paraId="4281E547">
      <w:pPr>
        <w:spacing w:line="580" w:lineRule="exact"/>
        <w:ind w:firstLine="640"/>
        <w:jc w:val="both"/>
      </w:pPr>
      <w:r>
        <w:rPr>
          <w:rFonts w:ascii="仿宋_GB2312" w:hAnsi="仿宋_GB2312" w:eastAsia="仿宋_GB2312"/>
          <w:sz w:val="32"/>
        </w:rPr>
        <w:t>（5）农业（畜牧业）发展服务中心：主要负责农业、畜牧、兽医、草原、林业、农技、农机、水利、科技等方面的服务工作；协助乡政府制定农业、林业、畜牧业、科技等工作的长远发展规划和年度计划并组织实施。</w:t>
      </w:r>
    </w:p>
    <w:p w14:paraId="29FFD02C">
      <w:pPr>
        <w:spacing w:line="580" w:lineRule="exact"/>
        <w:ind w:firstLine="640"/>
        <w:jc w:val="both"/>
      </w:pPr>
      <w:r>
        <w:rPr>
          <w:rFonts w:ascii="仿宋_GB2312" w:hAnsi="仿宋_GB2312" w:eastAsia="仿宋_GB2312"/>
          <w:sz w:val="32"/>
        </w:rPr>
        <w:t>（6）村镇规划建设发展中心：主要负责国土资源、规划建设、园林绿化、环境保护、交通等方面的服务工作；协助乡政府制定国土资源、园林绿化、环境保护的长远规划和年度计划并组织实施；协助乡政府贯彻落实统筹城乡发展、加快推进城乡一体化工作总体部署和目标。</w:t>
      </w:r>
    </w:p>
    <w:p w14:paraId="7109C26E">
      <w:pPr>
        <w:spacing w:line="580" w:lineRule="exact"/>
        <w:ind w:firstLine="640"/>
        <w:jc w:val="both"/>
      </w:pPr>
      <w:r>
        <w:rPr>
          <w:rFonts w:ascii="仿宋_GB2312" w:hAnsi="仿宋_GB2312" w:eastAsia="仿宋_GB2312"/>
          <w:sz w:val="32"/>
        </w:rPr>
        <w:t>（7）综治中心（特克斯县呼吉尔特蒙古民族乡网格化服务中心）：负责社会治安综合治理、法治建设、平安创建、网格化管理、安全生产、应急管理等方面的服务工作；负责群众信访、矛盾纠纷调解、安置帮教、社区矫正、普法等工作；负责人口管理工作，管</w:t>
      </w:r>
      <w:r>
        <w:rPr>
          <w:rFonts w:hint="eastAsia" w:ascii="仿宋_GB2312" w:hAnsi="仿宋_GB2312" w:eastAsia="仿宋_GB2312"/>
          <w:sz w:val="32"/>
          <w:lang w:eastAsia="zh-CN"/>
        </w:rPr>
        <w:t>理和</w:t>
      </w:r>
      <w:r>
        <w:rPr>
          <w:rFonts w:ascii="仿宋_GB2312" w:hAnsi="仿宋_GB2312" w:eastAsia="仿宋_GB2312"/>
          <w:sz w:val="32"/>
        </w:rPr>
        <w:t>指导基层网格员队伍等；协助乡政府制定社会治安等工作的年度计划并组织实施。</w:t>
      </w:r>
    </w:p>
    <w:p w14:paraId="4BA17F0B">
      <w:pPr>
        <w:spacing w:line="580" w:lineRule="exact"/>
        <w:ind w:firstLine="640"/>
        <w:jc w:val="both"/>
      </w:pPr>
      <w:r>
        <w:rPr>
          <w:rFonts w:ascii="仿宋_GB2312" w:hAnsi="仿宋_GB2312" w:eastAsia="仿宋_GB2312"/>
          <w:sz w:val="32"/>
        </w:rPr>
        <w:t>（8）人口和卫生健康服务站：负责宣传党和国家有关卫生健康的方针、政策、法律，普及卫生健康科学知识，负责开展卫生健康技术等方面和科技引进推广活动；负责做好地方卫生防疫、地方病防治和公共卫生监督等工作。</w:t>
      </w:r>
    </w:p>
    <w:p w14:paraId="18CC484C">
      <w:pPr>
        <w:spacing w:line="580" w:lineRule="exact"/>
        <w:ind w:firstLine="640"/>
        <w:jc w:val="both"/>
      </w:pPr>
      <w:r>
        <w:rPr>
          <w:rFonts w:ascii="仿宋_GB2312" w:hAnsi="仿宋_GB2312" w:eastAsia="仿宋_GB2312"/>
          <w:sz w:val="32"/>
        </w:rPr>
        <w:t>（9）社会保障（民政）服务中心：负责民政、教育、劳动就业、社会保障、社会救助、退役军人、残疾人事业、红十字会等方面的服务工作；协助乡政府制定民政、教育、劳动就业、社会保障、社会救助、退役军人等工作的长远发展规划和年度计划并组织实施。</w:t>
      </w:r>
    </w:p>
    <w:p w14:paraId="183762AD">
      <w:pPr>
        <w:spacing w:line="580" w:lineRule="exact"/>
        <w:ind w:firstLine="640"/>
        <w:jc w:val="both"/>
      </w:pPr>
      <w:r>
        <w:rPr>
          <w:rFonts w:ascii="仿宋_GB2312" w:hAnsi="仿宋_GB2312" w:eastAsia="仿宋_GB2312"/>
          <w:sz w:val="32"/>
        </w:rPr>
        <w:t>（10）文体广电旅游服务中心：主要负责文化、宣传、体育、广播电视、旅游等方面的服务工作；协助乡政府制定文化、宣传等工作的长远发展规划和年度计划并组织实施。</w:t>
      </w:r>
    </w:p>
    <w:p w14:paraId="2B89E06A">
      <w:pPr>
        <w:spacing w:line="640" w:lineRule="exact"/>
        <w:ind w:firstLine="640"/>
        <w:jc w:val="both"/>
        <w:outlineLvl w:val="2"/>
      </w:pPr>
      <w:r>
        <w:rPr>
          <w:rFonts w:ascii="黑体" w:hAnsi="黑体" w:eastAsia="黑体"/>
          <w:sz w:val="32"/>
        </w:rPr>
        <w:t>二、机构设置及人员情况</w:t>
      </w:r>
    </w:p>
    <w:p w14:paraId="54FCE0EE">
      <w:pPr>
        <w:spacing w:line="580" w:lineRule="exact"/>
        <w:ind w:firstLine="640"/>
        <w:jc w:val="both"/>
      </w:pPr>
      <w:r>
        <w:rPr>
          <w:rFonts w:ascii="仿宋_GB2312" w:hAnsi="仿宋_GB2312" w:eastAsia="仿宋_GB2312"/>
          <w:sz w:val="32"/>
        </w:rPr>
        <w:t>特克斯县呼吉尔特蒙古族乡人民政府2024年度，实有人数171人，其中：在职人员122人，减少2人；离休人员0人，增加0人；退休人员49人,减少1人。</w:t>
      </w:r>
    </w:p>
    <w:p w14:paraId="0A2D7ED8">
      <w:pPr>
        <w:spacing w:line="580" w:lineRule="exact"/>
        <w:ind w:firstLine="640"/>
        <w:jc w:val="both"/>
      </w:pPr>
      <w:r>
        <w:rPr>
          <w:rFonts w:ascii="仿宋_GB2312" w:hAnsi="仿宋_GB2312" w:eastAsia="仿宋_GB2312"/>
          <w:sz w:val="32"/>
        </w:rPr>
        <w:t>特克斯县呼吉尔特蒙古族乡人民政府无下属预算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，下设6个科室，分别是：党政办、党建办、纪检办、经济发展办公室、社保事务办公室、乡村振兴办。</w:t>
      </w:r>
    </w:p>
    <w:p w14:paraId="56585EBE">
      <w:r>
        <w:br w:type="page"/>
      </w:r>
    </w:p>
    <w:p w14:paraId="6CDCDAA9">
      <w:pPr>
        <w:spacing w:line="240" w:lineRule="auto"/>
        <w:jc w:val="center"/>
        <w:outlineLvl w:val="1"/>
      </w:pPr>
      <w:r>
        <w:rPr>
          <w:rFonts w:ascii="黑体" w:hAnsi="黑体" w:eastAsia="黑体"/>
          <w:sz w:val="32"/>
        </w:rPr>
        <w:t>第二部分 部门决算情况说明</w:t>
      </w:r>
    </w:p>
    <w:p w14:paraId="286CDD4E">
      <w:pPr>
        <w:spacing w:line="640" w:lineRule="exact"/>
        <w:ind w:firstLine="640"/>
        <w:jc w:val="both"/>
        <w:outlineLvl w:val="2"/>
      </w:pPr>
      <w:r>
        <w:rPr>
          <w:rFonts w:ascii="黑体" w:hAnsi="黑体" w:eastAsia="黑体"/>
          <w:sz w:val="32"/>
        </w:rPr>
        <w:t>一、收入支出决算总体情况说明</w:t>
      </w:r>
    </w:p>
    <w:p w14:paraId="79BF6168">
      <w:pPr>
        <w:spacing w:line="580" w:lineRule="exact"/>
        <w:ind w:firstLine="640"/>
        <w:jc w:val="both"/>
      </w:pPr>
      <w:r>
        <w:rPr>
          <w:rFonts w:ascii="仿宋_GB2312" w:hAnsi="仿宋_GB2312" w:eastAsia="仿宋_GB2312"/>
          <w:b/>
          <w:sz w:val="32"/>
        </w:rPr>
        <w:t>2024年度收入总计8,330.61万元，</w:t>
      </w:r>
      <w:r>
        <w:rPr>
          <w:rFonts w:ascii="仿宋_GB2312" w:hAnsi="仿宋_GB2312" w:eastAsia="仿宋_GB2312"/>
          <w:b w:val="0"/>
          <w:sz w:val="32"/>
        </w:rPr>
        <w:t>其中：本年收入合计8,330.61万元，使用非财政拨款结余（含专用结余）0.00万元，年初结转和结余0.00万元。</w:t>
      </w:r>
    </w:p>
    <w:p w14:paraId="648298BA">
      <w:pPr>
        <w:spacing w:line="580" w:lineRule="exact"/>
        <w:ind w:firstLine="640"/>
        <w:jc w:val="both"/>
      </w:pPr>
      <w:r>
        <w:rPr>
          <w:rFonts w:ascii="仿宋_GB2312" w:hAnsi="仿宋_GB2312" w:eastAsia="仿宋_GB2312"/>
          <w:b/>
          <w:sz w:val="32"/>
        </w:rPr>
        <w:t>2024年度支出总计8,330.61万元，</w:t>
      </w:r>
      <w:r>
        <w:rPr>
          <w:rFonts w:ascii="仿宋_GB2312" w:hAnsi="仿宋_GB2312" w:eastAsia="仿宋_GB2312"/>
          <w:b w:val="0"/>
          <w:sz w:val="32"/>
        </w:rPr>
        <w:t>其中：本年支出合计8,330.61万元，结余分配0.00万元，年末结转和结余0.00万元。</w:t>
      </w:r>
    </w:p>
    <w:p w14:paraId="429F0E85">
      <w:pPr>
        <w:spacing w:line="580" w:lineRule="exact"/>
        <w:ind w:firstLine="640"/>
        <w:jc w:val="both"/>
      </w:pPr>
      <w:r>
        <w:rPr>
          <w:rFonts w:ascii="仿宋_GB2312" w:hAnsi="仿宋_GB2312" w:eastAsia="仿宋_GB2312"/>
          <w:b w:val="0"/>
          <w:sz w:val="32"/>
        </w:rPr>
        <w:t>收入支出总体与上年相比，增加4,194.50万元，增长101.41%，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伊犁州特克斯县呼吉尔特蒙古族乡呼吉尔特村2024年农村厕所革命整村推进财政奖补（农村粪污一体化处理）试点示范项目、伊犁州特克斯县呼吉尔特蒙古族乡人居环境整治项目。</w:t>
      </w:r>
    </w:p>
    <w:p w14:paraId="52981B55">
      <w:pPr>
        <w:spacing w:line="640" w:lineRule="exact"/>
        <w:ind w:firstLine="640"/>
        <w:jc w:val="both"/>
        <w:outlineLvl w:val="2"/>
      </w:pPr>
      <w:r>
        <w:rPr>
          <w:rFonts w:ascii="黑体" w:hAnsi="黑体" w:eastAsia="黑体"/>
          <w:sz w:val="32"/>
        </w:rPr>
        <w:t>二、收入决算情况说明</w:t>
      </w:r>
    </w:p>
    <w:p w14:paraId="77B4A593">
      <w:pPr>
        <w:spacing w:line="580" w:lineRule="exact"/>
        <w:ind w:firstLine="640"/>
        <w:jc w:val="both"/>
      </w:pPr>
      <w:r>
        <w:rPr>
          <w:rFonts w:ascii="仿宋_GB2312" w:hAnsi="仿宋_GB2312" w:eastAsia="仿宋_GB2312"/>
          <w:b/>
          <w:sz w:val="32"/>
        </w:rPr>
        <w:t>本年收入8,330.61万元，</w:t>
      </w:r>
      <w:r>
        <w:rPr>
          <w:rFonts w:ascii="仿宋_GB2312" w:hAnsi="仿宋_GB2312" w:eastAsia="仿宋_GB2312"/>
          <w:b w:val="0"/>
          <w:sz w:val="32"/>
        </w:rPr>
        <w:t>其中：财政拨款收入8,330.61万元，占100.00%；上级补助收入0.00万元，占0.00%；事业收入0.00万元，占0.00%；经营收入0.00万元，占0.00%；附属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688314EC">
      <w:pPr>
        <w:spacing w:line="640" w:lineRule="exact"/>
        <w:ind w:firstLine="640"/>
        <w:jc w:val="both"/>
        <w:outlineLvl w:val="2"/>
      </w:pPr>
      <w:r>
        <w:rPr>
          <w:rFonts w:ascii="黑体" w:hAnsi="黑体" w:eastAsia="黑体"/>
          <w:sz w:val="32"/>
        </w:rPr>
        <w:t>三、支出决算情况说明</w:t>
      </w:r>
    </w:p>
    <w:p w14:paraId="6E7D6ED3">
      <w:pPr>
        <w:spacing w:line="580" w:lineRule="exact"/>
        <w:ind w:firstLine="640"/>
        <w:jc w:val="both"/>
      </w:pPr>
      <w:r>
        <w:rPr>
          <w:rFonts w:ascii="仿宋_GB2312" w:hAnsi="仿宋_GB2312" w:eastAsia="仿宋_GB2312"/>
          <w:b/>
          <w:sz w:val="32"/>
        </w:rPr>
        <w:t>本年支出8,330.61万元，</w:t>
      </w:r>
      <w:r>
        <w:rPr>
          <w:rFonts w:ascii="仿宋_GB2312" w:hAnsi="仿宋_GB2312" w:eastAsia="仿宋_GB2312"/>
          <w:b w:val="0"/>
          <w:sz w:val="32"/>
        </w:rPr>
        <w:t>其中：基本支出2,404.80万元，占28.87%；项目支出5,925.81万元，占71.13%；上缴上级支出0.00万元，占0.00%；经营支出0.00万元，占0.00%；对附属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FE75D06">
      <w:pPr>
        <w:spacing w:line="640" w:lineRule="exact"/>
        <w:ind w:firstLine="640"/>
        <w:jc w:val="both"/>
        <w:outlineLvl w:val="2"/>
      </w:pPr>
      <w:r>
        <w:rPr>
          <w:rFonts w:ascii="黑体" w:hAnsi="黑体" w:eastAsia="黑体"/>
          <w:sz w:val="32"/>
        </w:rPr>
        <w:t>四、财政拨款收入支出决算总体情况说明</w:t>
      </w:r>
    </w:p>
    <w:p w14:paraId="3E44BDCC">
      <w:pPr>
        <w:spacing w:line="580" w:lineRule="exact"/>
        <w:ind w:firstLine="640"/>
        <w:jc w:val="both"/>
      </w:pPr>
      <w:r>
        <w:rPr>
          <w:rFonts w:ascii="仿宋_GB2312" w:hAnsi="仿宋_GB2312" w:eastAsia="仿宋_GB2312"/>
          <w:b/>
          <w:sz w:val="32"/>
        </w:rPr>
        <w:t>2024年度财政拨款收入总计8,330.61万元，</w:t>
      </w:r>
      <w:r>
        <w:rPr>
          <w:rFonts w:ascii="仿宋_GB2312" w:hAnsi="仿宋_GB2312" w:eastAsia="仿宋_GB2312"/>
          <w:b w:val="0"/>
          <w:sz w:val="32"/>
        </w:rPr>
        <w:t>其中：年初财政拨款结转和结余0.00万元，本年财政拨款收入8,330.61万元。</w:t>
      </w:r>
      <w:r>
        <w:rPr>
          <w:rFonts w:ascii="仿宋_GB2312" w:hAnsi="仿宋_GB2312" w:eastAsia="仿宋_GB2312"/>
          <w:b/>
          <w:sz w:val="32"/>
        </w:rPr>
        <w:t>财政拨款支出总计8,330.61万元，</w:t>
      </w:r>
      <w:r>
        <w:rPr>
          <w:rFonts w:ascii="仿宋_GB2312" w:hAnsi="仿宋_GB2312" w:eastAsia="仿宋_GB2312"/>
          <w:b w:val="0"/>
          <w:sz w:val="32"/>
        </w:rPr>
        <w:t>其中：年末财政拨款结转和结余0.00万元，本年财政拨款支出8,330.61万元。</w:t>
      </w:r>
    </w:p>
    <w:p w14:paraId="4E2F5E3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4,194.50万元，增长101.41%，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伊犁州特克斯县呼吉尔特蒙古族乡呼吉尔特村2024年农村厕所革命整村推进财政奖补（农村粪污一体化处理）试点示范项目、伊犁州特克斯县呼吉尔特蒙古族乡人居环境整治项目。</w:t>
      </w:r>
      <w:r>
        <w:rPr>
          <w:rFonts w:ascii="仿宋_GB2312" w:hAnsi="仿宋_GB2312" w:eastAsia="仿宋_GB2312"/>
          <w:b/>
          <w:sz w:val="32"/>
        </w:rPr>
        <w:t>与年初预算相比，</w:t>
      </w:r>
      <w:r>
        <w:rPr>
          <w:rFonts w:ascii="仿宋_GB2312" w:hAnsi="仿宋_GB2312" w:eastAsia="仿宋_GB2312"/>
          <w:b w:val="0"/>
          <w:sz w:val="32"/>
        </w:rPr>
        <w:t>年初预算数5,189.04万元，决算数8,330.61万元，预决算差异率60.54%，主要原因是：年中追加伊犁州特克斯县呼吉尔特蒙古族乡呼吉尔特村2024年农村厕所革命整村推进财政奖补（农村粪污一体化处理）试点示范项目、伊犁州特克斯县呼吉尔特蒙古</w:t>
      </w:r>
      <w:r>
        <w:rPr>
          <w:rFonts w:hint="eastAsia" w:ascii="仿宋_GB2312" w:hAnsi="仿宋_GB2312" w:eastAsia="仿宋_GB2312"/>
          <w:b w:val="0"/>
          <w:sz w:val="32"/>
          <w:lang w:eastAsia="zh-CN"/>
        </w:rPr>
        <w:t>族乡</w:t>
      </w:r>
      <w:r>
        <w:rPr>
          <w:rFonts w:ascii="仿宋_GB2312" w:hAnsi="仿宋_GB2312" w:eastAsia="仿宋_GB2312"/>
          <w:b w:val="0"/>
          <w:sz w:val="32"/>
        </w:rPr>
        <w:t>人居环境整治项目、伊犁州特克斯县呼吉尔特蒙古族乡排水管网建设项目、伊犁州特克斯县呼吉尔特蒙古族乡呼吉尔特村示范村人畜分离配套设施建设项目</w:t>
      </w:r>
      <w:r>
        <w:rPr>
          <w:rFonts w:hint="eastAsia" w:ascii="仿宋_GB2312" w:hAnsi="仿宋_GB2312" w:eastAsia="仿宋_GB2312"/>
          <w:b w:val="0"/>
          <w:sz w:val="32"/>
          <w:lang w:eastAsia="zh-CN"/>
        </w:rPr>
        <w:t>、</w:t>
      </w:r>
      <w:r>
        <w:rPr>
          <w:rFonts w:ascii="仿宋_GB2312" w:hAnsi="仿宋_GB2312" w:eastAsia="仿宋_GB2312"/>
          <w:b w:val="0"/>
          <w:sz w:val="32"/>
        </w:rPr>
        <w:t>2024年城乡抗震安居工程呼吉尔特村牧民越冬放牧点生产用房（居住）建设项目、千汇矿业林草征占用安置补偿等项目，追加政府性基金项目：特克斯县呼吉尔特蒙古族乡千汇矿业林草征占用安置补偿项目、伊犁州特克斯县呼吉尔特蒙</w:t>
      </w:r>
      <w:r>
        <w:rPr>
          <w:rFonts w:hint="eastAsia" w:ascii="仿宋_GB2312" w:hAnsi="仿宋_GB2312" w:eastAsia="仿宋_GB2312"/>
          <w:b w:val="0"/>
          <w:sz w:val="32"/>
          <w:lang w:eastAsia="zh-CN"/>
        </w:rPr>
        <w:t>古族</w:t>
      </w:r>
      <w:r>
        <w:rPr>
          <w:rFonts w:ascii="仿宋_GB2312" w:hAnsi="仿宋_GB2312" w:eastAsia="仿宋_GB2312"/>
          <w:b w:val="0"/>
          <w:sz w:val="32"/>
        </w:rPr>
        <w:t>乡排水管网建设项目、蒙古乡养老服务中心</w:t>
      </w:r>
      <w:r>
        <w:rPr>
          <w:rFonts w:hint="eastAsia" w:ascii="仿宋_GB2312" w:hAnsi="仿宋_GB2312" w:eastAsia="仿宋_GB2312"/>
          <w:b w:val="0"/>
          <w:sz w:val="32"/>
          <w:lang w:eastAsia="zh-CN"/>
        </w:rPr>
        <w:t>消防</w:t>
      </w:r>
      <w:r>
        <w:rPr>
          <w:rFonts w:ascii="仿宋_GB2312" w:hAnsi="仿宋_GB2312" w:eastAsia="仿宋_GB2312"/>
          <w:b w:val="0"/>
          <w:sz w:val="32"/>
        </w:rPr>
        <w:t>能力提升项目，导致预决算存在差异。</w:t>
      </w:r>
    </w:p>
    <w:p w14:paraId="561DDD3A">
      <w:pPr>
        <w:spacing w:line="640" w:lineRule="exact"/>
        <w:ind w:firstLine="640"/>
        <w:jc w:val="both"/>
        <w:outlineLvl w:val="2"/>
      </w:pPr>
      <w:r>
        <w:rPr>
          <w:rFonts w:ascii="黑体" w:hAnsi="黑体" w:eastAsia="黑体"/>
          <w:sz w:val="32"/>
        </w:rPr>
        <w:t>五、一般公共预算财政拨款支出决算情况说明</w:t>
      </w:r>
    </w:p>
    <w:p w14:paraId="3B01B466">
      <w:pPr>
        <w:spacing w:line="640" w:lineRule="exact"/>
        <w:ind w:firstLine="640"/>
        <w:jc w:val="both"/>
        <w:outlineLvl w:val="3"/>
      </w:pPr>
      <w:r>
        <w:rPr>
          <w:rFonts w:ascii="楷体_GB2312" w:hAnsi="楷体_GB2312" w:eastAsia="楷体_GB2312"/>
          <w:b/>
          <w:sz w:val="32"/>
        </w:rPr>
        <w:t>（一）一般公共预算财政拨款支出决算总体情况</w:t>
      </w:r>
    </w:p>
    <w:p w14:paraId="2D703BB8">
      <w:pPr>
        <w:spacing w:line="580" w:lineRule="exact"/>
        <w:ind w:firstLine="640"/>
        <w:jc w:val="both"/>
      </w:pPr>
      <w:r>
        <w:rPr>
          <w:rFonts w:ascii="仿宋_GB2312" w:hAnsi="仿宋_GB2312" w:eastAsia="仿宋_GB2312"/>
          <w:b/>
          <w:sz w:val="32"/>
        </w:rPr>
        <w:t>2024年度一般公共预算财政拨款支出7,940.18万元，</w:t>
      </w:r>
      <w:r>
        <w:rPr>
          <w:rFonts w:ascii="仿宋_GB2312" w:hAnsi="仿宋_GB2312" w:eastAsia="仿宋_GB2312"/>
          <w:b w:val="0"/>
          <w:sz w:val="32"/>
        </w:rPr>
        <w:t>占本年支出合计的95.31%。</w:t>
      </w:r>
      <w:r>
        <w:rPr>
          <w:rFonts w:ascii="仿宋_GB2312" w:hAnsi="仿宋_GB2312" w:eastAsia="仿宋_GB2312"/>
          <w:b/>
          <w:sz w:val="32"/>
        </w:rPr>
        <w:t>与上年相比，</w:t>
      </w:r>
      <w:r>
        <w:rPr>
          <w:rFonts w:ascii="仿宋_GB2312" w:hAnsi="仿宋_GB2312" w:eastAsia="仿宋_GB2312"/>
          <w:b w:val="0"/>
          <w:sz w:val="32"/>
        </w:rPr>
        <w:t>增加4,227.06万元，增长113.84%，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伊犁州特克斯县呼吉尔特蒙古族乡呼吉尔特村2024年农村厕所革命整村推进财政奖补（农村粪污一体化处理）试点示范项目、伊犁州特克斯县呼吉尔特蒙古族乡人居环境整治项目。</w:t>
      </w:r>
      <w:r>
        <w:rPr>
          <w:rFonts w:ascii="仿宋_GB2312" w:hAnsi="仿宋_GB2312" w:eastAsia="仿宋_GB2312"/>
          <w:b/>
          <w:sz w:val="32"/>
        </w:rPr>
        <w:t>与年初预算相比,</w:t>
      </w:r>
      <w:r>
        <w:rPr>
          <w:rFonts w:ascii="仿宋_GB2312" w:hAnsi="仿宋_GB2312" w:eastAsia="仿宋_GB2312"/>
          <w:b w:val="0"/>
          <w:sz w:val="32"/>
        </w:rPr>
        <w:t>年初预算数4,987.44万元，决算数7,940.18万元，预决算差异率59.20%，主要原因是：年中追加伊犁州特克斯县呼吉尔特蒙古族乡呼吉尔特村2024年农村厕所革命整村推进财政奖补（农村粪污一体化处理）试点示范项目、伊犁州特克斯县呼吉尔特蒙古</w:t>
      </w:r>
      <w:r>
        <w:rPr>
          <w:rFonts w:hint="eastAsia" w:ascii="仿宋_GB2312" w:hAnsi="仿宋_GB2312" w:eastAsia="仿宋_GB2312"/>
          <w:b w:val="0"/>
          <w:sz w:val="32"/>
          <w:lang w:eastAsia="zh-CN"/>
        </w:rPr>
        <w:t>族乡</w:t>
      </w:r>
      <w:r>
        <w:rPr>
          <w:rFonts w:ascii="仿宋_GB2312" w:hAnsi="仿宋_GB2312" w:eastAsia="仿宋_GB2312"/>
          <w:b w:val="0"/>
          <w:sz w:val="32"/>
        </w:rPr>
        <w:t>人居环境整治项目、伊犁州特克斯县呼吉尔特蒙古族乡排水管网建设项目、伊犁州特克斯县呼吉尔特蒙古族乡呼吉尔特村示范村人畜分离配套设施建设项目、2024年城乡抗震安居工程呼吉尔特村牧民越冬放牧点生产用房（居住）建设项目、千汇矿业林草征占用安置补偿等项目，导致预决算存在差异。</w:t>
      </w:r>
    </w:p>
    <w:p w14:paraId="13BCA509">
      <w:pPr>
        <w:spacing w:line="640" w:lineRule="exact"/>
        <w:ind w:firstLine="640"/>
        <w:jc w:val="both"/>
        <w:outlineLvl w:val="3"/>
      </w:pPr>
      <w:r>
        <w:rPr>
          <w:rFonts w:ascii="楷体_GB2312" w:hAnsi="楷体_GB2312" w:eastAsia="楷体_GB2312"/>
          <w:b/>
          <w:sz w:val="32"/>
        </w:rPr>
        <w:t>（二）一般公共预算财政拨款支出决算结构情况</w:t>
      </w:r>
    </w:p>
    <w:p w14:paraId="55ED1B9E">
      <w:pPr>
        <w:spacing w:line="580" w:lineRule="exact"/>
        <w:ind w:firstLine="640"/>
        <w:jc w:val="both"/>
      </w:pPr>
      <w:r>
        <w:rPr>
          <w:rFonts w:ascii="仿宋_GB2312" w:hAnsi="仿宋_GB2312" w:eastAsia="仿宋_GB2312"/>
          <w:b w:val="0"/>
          <w:sz w:val="32"/>
        </w:rPr>
        <w:t>1.一般公共服务支出(类)1,722.16万元,占21.69%。</w:t>
      </w:r>
    </w:p>
    <w:p w14:paraId="65EFE33F">
      <w:pPr>
        <w:spacing w:line="580" w:lineRule="exact"/>
        <w:ind w:firstLine="640"/>
        <w:jc w:val="both"/>
      </w:pPr>
      <w:r>
        <w:rPr>
          <w:rFonts w:ascii="仿宋_GB2312" w:hAnsi="仿宋_GB2312" w:eastAsia="仿宋_GB2312"/>
          <w:b w:val="0"/>
          <w:sz w:val="32"/>
        </w:rPr>
        <w:t>2.文化旅游体育与传媒支出(类)1.42万元,占0.02%。</w:t>
      </w:r>
    </w:p>
    <w:p w14:paraId="1622101A">
      <w:pPr>
        <w:spacing w:line="580" w:lineRule="exact"/>
        <w:ind w:firstLine="640"/>
        <w:jc w:val="both"/>
      </w:pPr>
      <w:r>
        <w:rPr>
          <w:rFonts w:ascii="仿宋_GB2312" w:hAnsi="仿宋_GB2312" w:eastAsia="仿宋_GB2312"/>
          <w:b w:val="0"/>
          <w:sz w:val="32"/>
        </w:rPr>
        <w:t>3.社会保障和就业支出(类)235.48万元,占2.97%。</w:t>
      </w:r>
    </w:p>
    <w:p w14:paraId="04C633EA">
      <w:pPr>
        <w:spacing w:line="580" w:lineRule="exact"/>
        <w:ind w:firstLine="640"/>
        <w:jc w:val="both"/>
      </w:pPr>
      <w:r>
        <w:rPr>
          <w:rFonts w:ascii="仿宋_GB2312" w:hAnsi="仿宋_GB2312" w:eastAsia="仿宋_GB2312"/>
          <w:b w:val="0"/>
          <w:sz w:val="32"/>
        </w:rPr>
        <w:t>4.卫生健康支出(类)83.12万元,占1.05%。</w:t>
      </w:r>
    </w:p>
    <w:p w14:paraId="5702EE5A">
      <w:pPr>
        <w:spacing w:line="580" w:lineRule="exact"/>
        <w:ind w:firstLine="640"/>
        <w:jc w:val="both"/>
      </w:pPr>
      <w:r>
        <w:rPr>
          <w:rFonts w:ascii="仿宋_GB2312" w:hAnsi="仿宋_GB2312" w:eastAsia="仿宋_GB2312"/>
          <w:b w:val="0"/>
          <w:sz w:val="32"/>
        </w:rPr>
        <w:t>5.城乡社区支出(类)189.69万元,占2.39%。</w:t>
      </w:r>
    </w:p>
    <w:p w14:paraId="6D387E5F">
      <w:pPr>
        <w:spacing w:line="580" w:lineRule="exact"/>
        <w:ind w:firstLine="640"/>
        <w:jc w:val="both"/>
      </w:pPr>
      <w:r>
        <w:rPr>
          <w:rFonts w:ascii="仿宋_GB2312" w:hAnsi="仿宋_GB2312" w:eastAsia="仿宋_GB2312"/>
          <w:b w:val="0"/>
          <w:sz w:val="32"/>
        </w:rPr>
        <w:t>6.农林水支出(类)5,436.60万元,占68.47%。</w:t>
      </w:r>
    </w:p>
    <w:p w14:paraId="2AA4161D">
      <w:pPr>
        <w:spacing w:line="580" w:lineRule="exact"/>
        <w:ind w:firstLine="640"/>
        <w:jc w:val="both"/>
      </w:pPr>
      <w:r>
        <w:rPr>
          <w:rFonts w:ascii="仿宋_GB2312" w:hAnsi="仿宋_GB2312" w:eastAsia="仿宋_GB2312"/>
          <w:b w:val="0"/>
          <w:sz w:val="32"/>
        </w:rPr>
        <w:t>7.住房保障支出(类)271.71万元,占3.42%。</w:t>
      </w:r>
    </w:p>
    <w:p w14:paraId="740C91BB">
      <w:pPr>
        <w:spacing w:line="640" w:lineRule="exact"/>
        <w:ind w:firstLine="640"/>
        <w:jc w:val="both"/>
        <w:outlineLvl w:val="3"/>
      </w:pPr>
      <w:r>
        <w:rPr>
          <w:rFonts w:ascii="楷体_GB2312" w:hAnsi="楷体_GB2312" w:eastAsia="楷体_GB2312"/>
          <w:b/>
          <w:sz w:val="32"/>
        </w:rPr>
        <w:t>（三）一般公共预算财政拨款支出决算具体情况</w:t>
      </w:r>
    </w:p>
    <w:p w14:paraId="14AAF0CC">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1,646.50万元，比上年决算增加115.55万元，增长7.55%,主要原因是：本年在职人员工资调增，导致相关人员经费较上年有所增加。</w:t>
      </w:r>
    </w:p>
    <w:p w14:paraId="4CAFB575">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2.一般公共服务支出(类)纪检监察事务(款)其他纪检监察事务支出(项):支出决算数为2.00万元，比上年决算增加2.00万元，增长100.00%,主要原因是：本年较上年增加上级拨付纪检监察转移支付办案经费、装备经费。</w:t>
      </w:r>
    </w:p>
    <w:p w14:paraId="5E2550BF">
      <w:pPr>
        <w:spacing w:line="580" w:lineRule="exact"/>
        <w:ind w:firstLine="640"/>
        <w:jc w:val="both"/>
      </w:pPr>
      <w:r>
        <w:rPr>
          <w:rFonts w:ascii="仿宋_GB2312" w:hAnsi="仿宋_GB2312" w:eastAsia="仿宋_GB2312"/>
          <w:b w:val="0"/>
          <w:sz w:val="32"/>
        </w:rPr>
        <w:t>3.一般公共服务支出(类)组织事务(款)其他组织事务支出(项):支出决算数为73.66万元，比上年决算减少92.34万元，下降55.63%,主要原因是：2024年只发放1-5月份村干部工资及社保，2024年6</w:t>
      </w:r>
      <w:r>
        <w:rPr>
          <w:rFonts w:hint="eastAsia" w:ascii="仿宋_GB2312" w:hAnsi="仿宋_GB2312" w:eastAsia="仿宋_GB2312"/>
          <w:b w:val="0"/>
          <w:sz w:val="32"/>
          <w:lang w:eastAsia="zh-CN"/>
        </w:rPr>
        <w:t>—</w:t>
      </w:r>
      <w:r>
        <w:rPr>
          <w:rFonts w:ascii="仿宋_GB2312" w:hAnsi="仿宋_GB2312" w:eastAsia="仿宋_GB2312"/>
          <w:b w:val="0"/>
          <w:sz w:val="32"/>
        </w:rPr>
        <w:t>12月村工资及社保由组织部一卡通发放，故组织事务经费较上年减少。</w:t>
      </w:r>
    </w:p>
    <w:p w14:paraId="6188C076">
      <w:pPr>
        <w:spacing w:line="580" w:lineRule="exact"/>
        <w:ind w:firstLine="640"/>
        <w:jc w:val="both"/>
      </w:pPr>
      <w:r>
        <w:rPr>
          <w:rFonts w:ascii="仿宋_GB2312" w:hAnsi="仿宋_GB2312" w:eastAsia="仿宋_GB2312"/>
          <w:b w:val="0"/>
          <w:sz w:val="32"/>
        </w:rPr>
        <w:t>4.文化旅游体育与传媒支出(类)文化和旅游(款)群众文化(项):支出决算数为1.42万元，比上年决算增加1.42万元，增长100.00%,主要原因是：本年度此科目增加公共文化服务中心人员绩效工资。</w:t>
      </w:r>
    </w:p>
    <w:p w14:paraId="0C4D2EF7">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基本养老保险缴费支出(项):支出决算数为187.61万元，比上年决算增加32.93万元，增长21.29%,主要原因是：本年在职人员工资基数调增，养老缴费基数上涨，相应支出增加。</w:t>
      </w:r>
    </w:p>
    <w:p w14:paraId="1E2B6A3C">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职业年金缴费支出(项):支出决算数为5.21万元，比上年决算减少15.20万元，下降74.47%,主要原因是：本年新增退休人员较上年减少，职业年金缴费较上年减少。</w:t>
      </w:r>
    </w:p>
    <w:p w14:paraId="123623FA">
      <w:pPr>
        <w:spacing w:line="580" w:lineRule="exact"/>
        <w:ind w:firstLine="640"/>
        <w:jc w:val="both"/>
      </w:pPr>
      <w:r>
        <w:rPr>
          <w:rFonts w:ascii="仿宋_GB2312" w:hAnsi="仿宋_GB2312" w:eastAsia="仿宋_GB2312"/>
          <w:b w:val="0"/>
          <w:sz w:val="32"/>
        </w:rPr>
        <w:t>7.社会保障和就业支出(类)抚恤(款)死亡抚恤(项):支出决算数为35.09万元，比上年决算减少8.87万元，下降20.18%,主要原因是：本年较上年减少退休人员去世，死亡抚恤支出较上年减少。</w:t>
      </w:r>
    </w:p>
    <w:p w14:paraId="4FA04C06">
      <w:pPr>
        <w:spacing w:line="580" w:lineRule="exact"/>
        <w:ind w:firstLine="640"/>
        <w:jc w:val="both"/>
      </w:pPr>
      <w:r>
        <w:rPr>
          <w:rFonts w:ascii="仿宋_GB2312" w:hAnsi="仿宋_GB2312" w:eastAsia="仿宋_GB2312"/>
          <w:b w:val="0"/>
          <w:sz w:val="32"/>
        </w:rPr>
        <w:t>8.社会保障和就业支出(类)临时救助(款)临时救助支出(项):支出决算数为7.57万元，比上年决算增加1.57万元，增长26.17%,主要原因是：本年较上年新增2025年冬季困难群众生活物资采购费用。</w:t>
      </w:r>
    </w:p>
    <w:p w14:paraId="0C93FA6F">
      <w:pPr>
        <w:spacing w:line="580" w:lineRule="exact"/>
        <w:ind w:firstLine="640"/>
        <w:jc w:val="both"/>
      </w:pPr>
      <w:r>
        <w:rPr>
          <w:rFonts w:ascii="仿宋_GB2312" w:hAnsi="仿宋_GB2312" w:eastAsia="仿宋_GB2312"/>
          <w:b w:val="0"/>
          <w:sz w:val="32"/>
        </w:rPr>
        <w:t>9.卫生健康支出(类)计划生育事务(款)其他计划生育事务支出(项):支出决算数为2.07万元，比上年决算增加2.07万元，增长100.00%,主要原因是：本年增加</w:t>
      </w:r>
      <w:r>
        <w:rPr>
          <w:rFonts w:hint="eastAsia" w:ascii="仿宋_GB2312" w:hAnsi="仿宋_GB2312" w:eastAsia="仿宋_GB2312"/>
          <w:b w:val="0"/>
          <w:sz w:val="32"/>
          <w:lang w:val="en-US" w:eastAsia="zh-CN"/>
        </w:rPr>
        <w:t>计生</w:t>
      </w:r>
      <w:r>
        <w:rPr>
          <w:rFonts w:ascii="仿宋_GB2312" w:hAnsi="仿宋_GB2312" w:eastAsia="仿宋_GB2312"/>
          <w:b w:val="0"/>
          <w:sz w:val="32"/>
        </w:rPr>
        <w:t>服务站人员绩效工资。</w:t>
      </w:r>
    </w:p>
    <w:p w14:paraId="4EECF70F">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医疗(项):支出决算数为15.15万元，比上年决算减少0.05万元，下降0.33%,主要原因是：本年在职人员减少，导致行政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5AA1540A">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医疗(项):支出决算数为64.02万元，比上年决算增加20.51万元，增长47.14%,主要原因是：本年在职人员工资基数调增，医疗缴费基数上涨，相应支出增加。</w:t>
      </w:r>
    </w:p>
    <w:p w14:paraId="6B4D7F9A">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医疗(款)公务员医疗补助(项):支出决算数为0.41万元，比上年决算增加0.02万元，增长5.13%,主要原因是：本年在职人员工资基数调增，医疗缴费基数上涨，公务员医疗补助支出增加。</w:t>
      </w:r>
    </w:p>
    <w:p w14:paraId="5C70992C">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医疗支出(项):支出决算数为1.47万元，比上年决算减少0.64万元，下降30.33%,主要原因是：本年在职人员减少，其他行政事业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558A4D30">
      <w:pPr>
        <w:spacing w:line="580" w:lineRule="exact"/>
        <w:ind w:firstLine="640"/>
        <w:jc w:val="both"/>
      </w:pPr>
      <w:r>
        <w:rPr>
          <w:rFonts w:ascii="仿宋_GB2312" w:hAnsi="仿宋_GB2312" w:eastAsia="仿宋_GB2312"/>
          <w:b w:val="0"/>
          <w:sz w:val="32"/>
        </w:rPr>
        <w:t>14.节能环保支出(类)天然林保护(款)森林管护(项):支出决算数为0.00万元，比上年决算减少20.00万元，下降100.00%,主要原因是：本年减少乡村绿化美丽建设项目。</w:t>
      </w:r>
    </w:p>
    <w:p w14:paraId="0542A255">
      <w:pPr>
        <w:spacing w:line="580" w:lineRule="exact"/>
        <w:ind w:firstLine="640"/>
        <w:jc w:val="both"/>
      </w:pPr>
      <w:r>
        <w:rPr>
          <w:rFonts w:ascii="仿宋_GB2312" w:hAnsi="仿宋_GB2312" w:eastAsia="仿宋_GB2312"/>
          <w:b w:val="0"/>
          <w:sz w:val="32"/>
        </w:rPr>
        <w:t>15.城乡社区支出(类)城乡社区公共设施(款)其他城乡社区公共设施支出(项):支出决算数为189.69万元，比上年决算增加189.69万元，增长100.00%,主要原因是：本年新增伊犁州特克斯县呼吉尔特蒙古族乡2023年村民服务中心建设项目、伊犁州特克斯县呼吉尔特蒙古族乡2023年村级组织活动场所建设项目。</w:t>
      </w:r>
    </w:p>
    <w:p w14:paraId="3A77184C">
      <w:pPr>
        <w:spacing w:line="580" w:lineRule="exact"/>
        <w:ind w:firstLine="640"/>
        <w:jc w:val="both"/>
      </w:pPr>
      <w:r>
        <w:rPr>
          <w:rFonts w:ascii="仿宋_GB2312" w:hAnsi="仿宋_GB2312" w:eastAsia="仿宋_GB2312"/>
          <w:b w:val="0"/>
          <w:sz w:val="32"/>
        </w:rPr>
        <w:t>16.农林水支出(类)水利(款)大中型水库移民后期扶持专项支出(项):支出决算数为51.78万元，比上年决算增加51.78万元，增长100.00%,主要原因是：本年新增伊犁州特克斯县呼吉尔特蒙古族乡排水管网建设项目。</w:t>
      </w:r>
    </w:p>
    <w:p w14:paraId="2FC4B93A">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2,456.13万元，比上年决算增加2,456.13万元，增长100.00%,主要原因是：本年新增伊犁州特克斯县呼吉尔特蒙古族乡呼吉尔特村2024年农村厕所革命整村推进财政奖补（农村粪污一体化处理）试点示范项目、伊犁州特克斯县呼吉尔特蒙古族乡人居环境整治项目。</w:t>
      </w:r>
    </w:p>
    <w:p w14:paraId="5CB5F743">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2,602.45万元，比上年决算增加1,502.78万元，增长136.66%,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w:t>
      </w:r>
    </w:p>
    <w:p w14:paraId="5E563DE4">
      <w:pPr>
        <w:spacing w:line="580" w:lineRule="exact"/>
        <w:ind w:firstLine="640"/>
        <w:jc w:val="both"/>
      </w:pPr>
      <w:r>
        <w:rPr>
          <w:rFonts w:ascii="仿宋_GB2312" w:hAnsi="仿宋_GB2312" w:eastAsia="仿宋_GB2312"/>
          <w:b w:val="0"/>
          <w:sz w:val="32"/>
        </w:rPr>
        <w:t>19.农林水支出(类)巩固脱贫攻坚成果衔接乡村振兴(款)其他巩固脱贫攻坚成果衔接乡村振兴支出(项):支出决算数为11.50万元，比上年决算增加4.66万元，增长68.13%,主要原因是：本年新增特克斯县呼吉尔特蒙古族乡2023年农村改厕建设项目。</w:t>
      </w:r>
    </w:p>
    <w:p w14:paraId="7A708764">
      <w:pPr>
        <w:spacing w:line="580" w:lineRule="exact"/>
        <w:ind w:firstLine="640"/>
        <w:jc w:val="both"/>
      </w:pPr>
      <w:r>
        <w:rPr>
          <w:rFonts w:ascii="仿宋_GB2312" w:hAnsi="仿宋_GB2312" w:eastAsia="仿宋_GB2312"/>
          <w:b w:val="0"/>
          <w:sz w:val="32"/>
        </w:rPr>
        <w:t>20.农林水支出(类)农村综合改革(款)对村级公益事业建设的补助(项):支出决算数为104.00万元，比上年决算增加104.00万元，增长100.00%,主要原因是：本年度新增中央农村综合改革项目一事一议项目。</w:t>
      </w:r>
    </w:p>
    <w:p w14:paraId="5AF80F86">
      <w:pPr>
        <w:spacing w:line="580" w:lineRule="exact"/>
        <w:ind w:firstLine="640"/>
        <w:jc w:val="both"/>
      </w:pPr>
      <w:r>
        <w:rPr>
          <w:rFonts w:ascii="仿宋_GB2312" w:hAnsi="仿宋_GB2312" w:eastAsia="仿宋_GB2312"/>
          <w:b w:val="0"/>
          <w:sz w:val="32"/>
        </w:rPr>
        <w:t>21.农林水支出(类)农村综合改革(款)对村民委员会和村党支部的补助(项):支出决算数为210.75万元，比上年决算减少156.78万元，下降42.66%,主要原因是：2024年只支付1</w:t>
      </w:r>
      <w:r>
        <w:rPr>
          <w:rFonts w:hint="eastAsia" w:ascii="仿宋_GB2312" w:hAnsi="仿宋_GB2312" w:eastAsia="仿宋_GB2312"/>
          <w:b w:val="0"/>
          <w:sz w:val="32"/>
          <w:lang w:eastAsia="zh-CN"/>
        </w:rPr>
        <w:t>—</w:t>
      </w:r>
      <w:r>
        <w:rPr>
          <w:rFonts w:ascii="仿宋_GB2312" w:hAnsi="仿宋_GB2312" w:eastAsia="仿宋_GB2312"/>
          <w:b w:val="0"/>
          <w:sz w:val="32"/>
        </w:rPr>
        <w:t>5月村干部工资及社保，2024年6-12月份由组织部发放村干部工资及社保，故经费支出减少。</w:t>
      </w:r>
    </w:p>
    <w:p w14:paraId="55A3475E">
      <w:pPr>
        <w:spacing w:line="580" w:lineRule="exact"/>
        <w:ind w:firstLine="640"/>
        <w:jc w:val="both"/>
      </w:pPr>
      <w:r>
        <w:rPr>
          <w:rFonts w:ascii="仿宋_GB2312" w:hAnsi="仿宋_GB2312" w:eastAsia="仿宋_GB2312"/>
          <w:b w:val="0"/>
          <w:sz w:val="32"/>
        </w:rPr>
        <w:t>22.农林水支出(类)农村综合改革(款)对村集体经济组织的补助(项):支出决算数为0.00万元，比上年决算减少100.00万元，下降100.00%,主要原因是：本年减少扶持壮大村集体经济项目资金。</w:t>
      </w:r>
    </w:p>
    <w:p w14:paraId="2D4D5E73">
      <w:pPr>
        <w:spacing w:line="580" w:lineRule="exact"/>
        <w:ind w:firstLine="640"/>
        <w:jc w:val="both"/>
      </w:pPr>
      <w:r>
        <w:rPr>
          <w:rFonts w:ascii="仿宋_GB2312" w:hAnsi="仿宋_GB2312" w:eastAsia="仿宋_GB2312"/>
          <w:b w:val="0"/>
          <w:sz w:val="32"/>
        </w:rPr>
        <w:t>23.住房保障支出(类)保障性安居工程支出(款)少数民族地区游牧民定居工程(项):支出决算数为119.84万元，比上年决算增加119.84万元，增长100.00%,主要原因是：本年新增2024年城乡抗震安居工程呼吉尔特村牧民越冬放牧点生产用房（居住）建设项目。</w:t>
      </w:r>
    </w:p>
    <w:p w14:paraId="484583B5">
      <w:pPr>
        <w:spacing w:line="580" w:lineRule="exact"/>
        <w:ind w:firstLine="640"/>
        <w:jc w:val="both"/>
      </w:pPr>
      <w:r>
        <w:rPr>
          <w:rFonts w:ascii="仿宋_GB2312" w:hAnsi="仿宋_GB2312" w:eastAsia="仿宋_GB2312"/>
          <w:b w:val="0"/>
          <w:sz w:val="32"/>
        </w:rPr>
        <w:t>24.住房保障支出(类)住房改革支出(款)住房公积金(项):支出决算数为151.87万元，比上年决算增加16.01万元，增长11.78%,主要原因是：本年在职人员工资基数调增，公积金缴费基数上涨，相应支出增加。</w:t>
      </w:r>
    </w:p>
    <w:p w14:paraId="6E7D42D5">
      <w:pPr>
        <w:spacing w:line="640" w:lineRule="exact"/>
        <w:ind w:firstLine="640"/>
        <w:jc w:val="both"/>
        <w:outlineLvl w:val="2"/>
      </w:pPr>
      <w:r>
        <w:rPr>
          <w:rFonts w:ascii="黑体" w:hAnsi="黑体" w:eastAsia="黑体"/>
          <w:sz w:val="32"/>
        </w:rPr>
        <w:t>六、一般公共预算财政拨款基本支出决算情况说明</w:t>
      </w:r>
    </w:p>
    <w:p w14:paraId="0191EF5C">
      <w:pPr>
        <w:spacing w:line="580" w:lineRule="exact"/>
        <w:ind w:firstLine="640"/>
        <w:jc w:val="both"/>
      </w:pPr>
      <w:r>
        <w:rPr>
          <w:rFonts w:ascii="仿宋_GB2312" w:hAnsi="仿宋_GB2312" w:eastAsia="仿宋_GB2312"/>
          <w:b w:val="0"/>
          <w:sz w:val="32"/>
        </w:rPr>
        <w:t>2024年度一般公共预算财政拨款基本支出2,404.80万元，其中：</w:t>
      </w:r>
      <w:r>
        <w:rPr>
          <w:rFonts w:ascii="仿宋_GB2312" w:hAnsi="仿宋_GB2312" w:eastAsia="仿宋_GB2312"/>
          <w:b/>
          <w:sz w:val="32"/>
        </w:rPr>
        <w:t>人员经费2,202.15万元，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基本养老保险缴费、职业年金缴费、职工基本医疗保险缴费、公务员医疗补助缴费、其他社会保障缴费、住房公积金、其他工资福利支出、退休费、抚恤金、生活补助。</w:t>
      </w:r>
    </w:p>
    <w:p w14:paraId="2EF54420">
      <w:pPr>
        <w:spacing w:line="580" w:lineRule="exact"/>
        <w:ind w:firstLine="640"/>
        <w:jc w:val="both"/>
      </w:pPr>
      <w:r>
        <w:rPr>
          <w:rFonts w:ascii="仿宋_GB2312" w:hAnsi="仿宋_GB2312" w:eastAsia="仿宋_GB2312"/>
          <w:b/>
          <w:sz w:val="32"/>
        </w:rPr>
        <w:t>公用经费202.65万元，</w:t>
      </w:r>
      <w:r>
        <w:rPr>
          <w:rFonts w:ascii="仿宋_GB2312" w:hAnsi="仿宋_GB2312" w:eastAsia="仿宋_GB2312"/>
          <w:b w:val="0"/>
          <w:sz w:val="32"/>
        </w:rPr>
        <w:t>包括：办公费、水费、电费、邮电费、取暖费、差旅费、工会经费、公务用车运行维护费、税金及附加费用、办公设备购置。</w:t>
      </w:r>
    </w:p>
    <w:p w14:paraId="2964FEE9">
      <w:pPr>
        <w:spacing w:line="640" w:lineRule="exact"/>
        <w:ind w:firstLine="640"/>
        <w:jc w:val="both"/>
        <w:outlineLvl w:val="2"/>
      </w:pPr>
      <w:r>
        <w:rPr>
          <w:rFonts w:ascii="黑体" w:hAnsi="黑体" w:eastAsia="黑体"/>
          <w:sz w:val="32"/>
        </w:rPr>
        <w:t>七、政府性基金预算财政拨款收入支出决算情况说明</w:t>
      </w:r>
    </w:p>
    <w:p w14:paraId="4F95DED0">
      <w:pPr>
        <w:spacing w:line="580" w:lineRule="exact"/>
        <w:ind w:firstLine="640"/>
        <w:jc w:val="both"/>
      </w:pPr>
      <w:r>
        <w:rPr>
          <w:rFonts w:ascii="仿宋_GB2312" w:hAnsi="仿宋_GB2312" w:eastAsia="仿宋_GB2312"/>
          <w:b/>
          <w:sz w:val="32"/>
        </w:rPr>
        <w:t>2024年度政府性基金预算财政拨款收入总计390.43万元，</w:t>
      </w:r>
      <w:r>
        <w:rPr>
          <w:rFonts w:ascii="仿宋_GB2312" w:hAnsi="仿宋_GB2312" w:eastAsia="仿宋_GB2312"/>
          <w:b w:val="0"/>
          <w:sz w:val="32"/>
        </w:rPr>
        <w:t>其中：年初结转和结余0.00万元，本年收入390.43万元。</w:t>
      </w:r>
      <w:r>
        <w:rPr>
          <w:rFonts w:ascii="仿宋_GB2312" w:hAnsi="仿宋_GB2312" w:eastAsia="仿宋_GB2312"/>
          <w:b/>
          <w:sz w:val="32"/>
        </w:rPr>
        <w:t>政府性基金预算财政拨款支出总计390.43万元，</w:t>
      </w:r>
      <w:r>
        <w:rPr>
          <w:rFonts w:ascii="仿宋_GB2312" w:hAnsi="仿宋_GB2312" w:eastAsia="仿宋_GB2312"/>
          <w:b w:val="0"/>
          <w:sz w:val="32"/>
        </w:rPr>
        <w:t>其中：年末结转和结余0.00万元，本年支出390.43万元。</w:t>
      </w:r>
    </w:p>
    <w:p w14:paraId="400E2E9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减少32.56万元，下降7.70%，主要原因是：本年较上年减少团结新村托斯坝片区拆迁补助及公路征占补偿费资金、团结新村大棚承包费资金。</w:t>
      </w:r>
      <w:r>
        <w:rPr>
          <w:rFonts w:ascii="仿宋_GB2312" w:hAnsi="仿宋_GB2312" w:eastAsia="仿宋_GB2312"/>
          <w:b/>
          <w:sz w:val="32"/>
        </w:rPr>
        <w:t>与年初预算相比，</w:t>
      </w:r>
      <w:r>
        <w:rPr>
          <w:rFonts w:ascii="仿宋_GB2312" w:hAnsi="仿宋_GB2312" w:eastAsia="仿宋_GB2312"/>
          <w:b w:val="0"/>
          <w:sz w:val="32"/>
        </w:rPr>
        <w:t>年初预算数201.60万元，决算数390.43万元，预决算差异率93.67%，主要原因是：年中追加特克斯县呼吉尔特蒙古族乡千汇矿业林草征占用安置补偿项目、伊犁州特克斯县呼吉尔特蒙</w:t>
      </w:r>
      <w:r>
        <w:rPr>
          <w:rFonts w:hint="eastAsia" w:ascii="仿宋_GB2312" w:hAnsi="仿宋_GB2312" w:eastAsia="仿宋_GB2312"/>
          <w:b w:val="0"/>
          <w:sz w:val="32"/>
          <w:lang w:eastAsia="zh-CN"/>
        </w:rPr>
        <w:t>古族</w:t>
      </w:r>
      <w:r>
        <w:rPr>
          <w:rFonts w:ascii="仿宋_GB2312" w:hAnsi="仿宋_GB2312" w:eastAsia="仿宋_GB2312"/>
          <w:b w:val="0"/>
          <w:sz w:val="32"/>
        </w:rPr>
        <w:t>乡排水管网建设项目、蒙古乡养老服务中心</w:t>
      </w:r>
      <w:r>
        <w:rPr>
          <w:rFonts w:hint="eastAsia" w:ascii="仿宋_GB2312" w:hAnsi="仿宋_GB2312" w:eastAsia="仿宋_GB2312"/>
          <w:b w:val="0"/>
          <w:sz w:val="32"/>
          <w:lang w:eastAsia="zh-CN"/>
        </w:rPr>
        <w:t>消防</w:t>
      </w:r>
      <w:r>
        <w:rPr>
          <w:rFonts w:ascii="仿宋_GB2312" w:hAnsi="仿宋_GB2312" w:eastAsia="仿宋_GB2312"/>
          <w:b w:val="0"/>
          <w:sz w:val="32"/>
        </w:rPr>
        <w:t>能力提升项目，导致预决算存在差异。</w:t>
      </w:r>
    </w:p>
    <w:p w14:paraId="2EAC2531">
      <w:pPr>
        <w:spacing w:line="580" w:lineRule="exact"/>
        <w:ind w:firstLine="640"/>
        <w:jc w:val="both"/>
      </w:pPr>
      <w:r>
        <w:rPr>
          <w:rFonts w:ascii="仿宋_GB2312" w:hAnsi="仿宋_GB2312" w:eastAsia="仿宋_GB2312"/>
          <w:b w:val="0"/>
          <w:sz w:val="32"/>
        </w:rPr>
        <w:t>政府性基金预算财政拨款支出390.43万元。</w:t>
      </w:r>
    </w:p>
    <w:p w14:paraId="3736AA09">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160.00万元，比上年决算减少164.03万元，下降50.62%,主要原因是：本年较上年减少团结新村托斯坝片区拆迁补助及公路征占补偿费资金。</w:t>
      </w:r>
    </w:p>
    <w:p w14:paraId="1215C3FE">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2.城乡社区支出(类)国有土地使用权出让收入安排的支出(款)农业农村生态环境支出(项):支出决算数为0.00万元，比上年决算减少12.56万元，下降100.00%,主要原因是：本年较上年减少团结新村大棚承包费资金。</w:t>
      </w:r>
    </w:p>
    <w:p w14:paraId="7800C35C">
      <w:pPr>
        <w:spacing w:line="580" w:lineRule="exact"/>
        <w:ind w:firstLine="640"/>
        <w:jc w:val="both"/>
      </w:pPr>
      <w:r>
        <w:rPr>
          <w:rFonts w:ascii="仿宋_GB2312" w:hAnsi="仿宋_GB2312" w:eastAsia="仿宋_GB2312"/>
          <w:b w:val="0"/>
          <w:sz w:val="32"/>
        </w:rPr>
        <w:t>3.农林水支出(类)大中型水库移民后期扶持基金支出(款)基础设施建设和经济发展(项):支出决算数为51.78万元，比上年决算增加51.78万元，增长100.00%,主要原因是：本年新增伊犁州特克斯县呼吉尔特蒙古乡排水管网建设项目。</w:t>
      </w:r>
    </w:p>
    <w:p w14:paraId="65946AAE">
      <w:pPr>
        <w:spacing w:line="580" w:lineRule="exact"/>
        <w:ind w:firstLine="640"/>
        <w:jc w:val="both"/>
      </w:pPr>
      <w:r>
        <w:rPr>
          <w:rFonts w:ascii="仿宋_GB2312" w:hAnsi="仿宋_GB2312" w:eastAsia="仿宋_GB2312"/>
          <w:b w:val="0"/>
          <w:sz w:val="32"/>
        </w:rPr>
        <w:t>4.其他支出(类)彩票公益金安排的支出(款)用于社会福利的彩票公益金支出(项):支出决算数为178.65万元，比上年决算增加92.25万元，增长106.77%,主要原因是：较上年新增蒙古乡养老服务中心消防及能力提升项目、蒙古乡养老服务中心建设项目资金。</w:t>
      </w:r>
    </w:p>
    <w:p w14:paraId="7DE90C62">
      <w:pPr>
        <w:spacing w:line="640" w:lineRule="exact"/>
        <w:ind w:firstLine="640"/>
        <w:jc w:val="both"/>
        <w:outlineLvl w:val="2"/>
      </w:pPr>
      <w:r>
        <w:rPr>
          <w:rFonts w:ascii="黑体" w:hAnsi="黑体" w:eastAsia="黑体"/>
          <w:sz w:val="32"/>
        </w:rPr>
        <w:t>八、国有资本经营预算财政拨款收入支出决算情况说明</w:t>
      </w:r>
    </w:p>
    <w:p w14:paraId="7BD7394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6A9C380">
      <w:pPr>
        <w:spacing w:line="640" w:lineRule="exact"/>
        <w:ind w:firstLine="640"/>
        <w:jc w:val="both"/>
        <w:outlineLvl w:val="2"/>
      </w:pPr>
      <w:r>
        <w:rPr>
          <w:rFonts w:ascii="黑体" w:hAnsi="黑体" w:eastAsia="黑体"/>
          <w:sz w:val="32"/>
        </w:rPr>
        <w:t>九、财政拨款“三公”经费支出决算情况说明</w:t>
      </w:r>
    </w:p>
    <w:p w14:paraId="515940FD">
      <w:pPr>
        <w:spacing w:line="580" w:lineRule="exact"/>
        <w:ind w:firstLine="640"/>
        <w:jc w:val="both"/>
      </w:pPr>
      <w:r>
        <w:rPr>
          <w:rFonts w:ascii="仿宋_GB2312" w:hAnsi="仿宋_GB2312" w:eastAsia="仿宋_GB2312"/>
          <w:b/>
          <w:sz w:val="32"/>
        </w:rPr>
        <w:t>2024年度财政拨款“三公”经费支出4.63万元，</w:t>
      </w:r>
      <w:r>
        <w:rPr>
          <w:rFonts w:ascii="仿宋_GB2312" w:hAnsi="仿宋_GB2312" w:eastAsia="仿宋_GB2312"/>
          <w:b w:val="0"/>
          <w:sz w:val="32"/>
        </w:rPr>
        <w:t>比上年减少0.03万元，下降0.64%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4.63万元，占100.00%，比上年减少0.03万元，下降0.64%，主要原因是：严格落实中央八项规定精神，厉行节约，减少公务用车运行维护费。公务接待费支出0.00万元，占0.00%，比上年增加0.00万元，增长0.00%，主要原因是：2023年与2024年均未安排公务接待费支出。</w:t>
      </w:r>
    </w:p>
    <w:p w14:paraId="52313D1B">
      <w:pPr>
        <w:spacing w:line="580" w:lineRule="exact"/>
        <w:ind w:firstLine="640"/>
        <w:jc w:val="both"/>
      </w:pPr>
      <w:r>
        <w:rPr>
          <w:rFonts w:ascii="仿宋_GB2312" w:hAnsi="仿宋_GB2312" w:eastAsia="仿宋_GB2312"/>
          <w:b/>
          <w:sz w:val="32"/>
        </w:rPr>
        <w:t>具体情况如下：</w:t>
      </w:r>
    </w:p>
    <w:p w14:paraId="417562C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7B49AE7">
      <w:pPr>
        <w:spacing w:line="580" w:lineRule="exact"/>
        <w:ind w:firstLine="640"/>
        <w:jc w:val="both"/>
      </w:pPr>
      <w:r>
        <w:rPr>
          <w:rFonts w:ascii="仿宋_GB2312" w:hAnsi="仿宋_GB2312" w:eastAsia="仿宋_GB2312"/>
          <w:b w:val="0"/>
          <w:sz w:val="32"/>
        </w:rPr>
        <w:t>公务用车购置及运行维护费4.63万元，其中：公务用车购置费0.00万元，公务用车运行维护费4.63万元。公务用车运行维护费开支内容包括车辆加油费、维修费、保险费、审车费等。公务用车购置数0辆，公务用车保有量13辆。国有资产占用情况中固定资产车辆13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3C1273B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750E0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4.63万元，决算数4.63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4.63万元，决算数4.63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46251E6">
      <w:pPr>
        <w:spacing w:line="640" w:lineRule="exact"/>
        <w:ind w:firstLine="640"/>
        <w:jc w:val="both"/>
        <w:outlineLvl w:val="2"/>
      </w:pPr>
      <w:r>
        <w:rPr>
          <w:rFonts w:ascii="黑体" w:hAnsi="黑体" w:eastAsia="黑体"/>
          <w:sz w:val="32"/>
        </w:rPr>
        <w:t>十、其他重要事项的情况说明</w:t>
      </w:r>
    </w:p>
    <w:p w14:paraId="5DE84909">
      <w:pPr>
        <w:spacing w:line="640" w:lineRule="exact"/>
        <w:ind w:firstLine="640"/>
        <w:jc w:val="both"/>
        <w:outlineLvl w:val="3"/>
      </w:pPr>
      <w:r>
        <w:rPr>
          <w:rFonts w:ascii="楷体_GB2312" w:hAnsi="楷体_GB2312" w:eastAsia="楷体_GB2312"/>
          <w:b/>
          <w:sz w:val="32"/>
        </w:rPr>
        <w:t>（一）机关运行经费及公用经费支出情况</w:t>
      </w:r>
    </w:p>
    <w:p w14:paraId="76398096">
      <w:pPr>
        <w:spacing w:line="580" w:lineRule="exact"/>
        <w:ind w:firstLine="640"/>
        <w:jc w:val="both"/>
      </w:pPr>
      <w:r>
        <w:rPr>
          <w:rFonts w:ascii="仿宋_GB2312" w:hAnsi="仿宋_GB2312" w:eastAsia="仿宋_GB2312"/>
          <w:b w:val="0"/>
          <w:sz w:val="32"/>
        </w:rPr>
        <w:t>2024年度特克斯县呼吉尔特蒙古族乡人民政府（行政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）机关运行经费支出202.65万元，比上年减少52.13万元，下降20.46%，主要原因是：本年减少为民办实事经费、第一书记为民办实事经费、工作队办公经费及村级运转经费，导致公用经费减少。</w:t>
      </w:r>
    </w:p>
    <w:p w14:paraId="0D5E0B1C">
      <w:pPr>
        <w:spacing w:line="640" w:lineRule="exact"/>
        <w:ind w:firstLine="640"/>
        <w:jc w:val="both"/>
        <w:outlineLvl w:val="3"/>
      </w:pPr>
      <w:r>
        <w:rPr>
          <w:rFonts w:ascii="楷体_GB2312" w:hAnsi="楷体_GB2312" w:eastAsia="楷体_GB2312"/>
          <w:b/>
          <w:sz w:val="32"/>
        </w:rPr>
        <w:t>（二）政府采购情况</w:t>
      </w:r>
    </w:p>
    <w:p w14:paraId="6FDA6A96">
      <w:pPr>
        <w:spacing w:line="580" w:lineRule="exact"/>
        <w:ind w:firstLine="640"/>
        <w:jc w:val="both"/>
      </w:pPr>
      <w:r>
        <w:rPr>
          <w:rFonts w:ascii="仿宋_GB2312" w:hAnsi="仿宋_GB2312" w:eastAsia="仿宋_GB2312"/>
          <w:b w:val="0"/>
          <w:sz w:val="32"/>
        </w:rPr>
        <w:t>2024年度政府采购支出总额27.41万元，其中：政府采购货物支出25.27万元、政府采购工程支出0.00万元、政府采购服务支出2.14万元。</w:t>
      </w:r>
    </w:p>
    <w:p w14:paraId="7EAF8B96">
      <w:pPr>
        <w:spacing w:line="580" w:lineRule="exact"/>
        <w:ind w:firstLine="640"/>
        <w:jc w:val="both"/>
      </w:pPr>
      <w:r>
        <w:rPr>
          <w:rFonts w:ascii="仿宋_GB2312" w:hAnsi="仿宋_GB2312" w:eastAsia="仿宋_GB2312"/>
          <w:b w:val="0"/>
          <w:sz w:val="32"/>
        </w:rPr>
        <w:t>授予中小企业合同金额27.41万元，占政府采购支出总额的100.00%，其中：授予小微企业合同金额11.35万元，占政府采购支出总额的41.41%。</w:t>
      </w:r>
    </w:p>
    <w:p w14:paraId="24727880">
      <w:pPr>
        <w:spacing w:line="640" w:lineRule="exact"/>
        <w:ind w:firstLine="640"/>
        <w:jc w:val="both"/>
        <w:outlineLvl w:val="3"/>
      </w:pPr>
      <w:r>
        <w:rPr>
          <w:rFonts w:ascii="楷体_GB2312" w:hAnsi="楷体_GB2312" w:eastAsia="楷体_GB2312"/>
          <w:b/>
          <w:sz w:val="32"/>
        </w:rPr>
        <w:t>（三）国有资产占用情况说明</w:t>
      </w:r>
    </w:p>
    <w:p w14:paraId="3AE8DE95">
      <w:pPr>
        <w:spacing w:line="580" w:lineRule="exact"/>
        <w:ind w:firstLine="640"/>
        <w:jc w:val="both"/>
      </w:pPr>
      <w:r>
        <w:rPr>
          <w:rFonts w:ascii="仿宋_GB2312" w:hAnsi="仿宋_GB2312" w:eastAsia="仿宋_GB2312"/>
          <w:b w:val="0"/>
          <w:sz w:val="32"/>
        </w:rPr>
        <w:t>截至2024年12月31日，房屋4,162.50平方米，价值118.60万元。车辆13辆，价值182.70万元，其中：副部（省）级及以上领导用车0辆、主要负责人用车0辆、机要通信用车0辆、应急保障用车0辆、执法执勤用车0辆、特种专业技术用车0辆、离退休干部服务用车0辆、其他用车13辆，其他用车主要是：一般公务用车。单价100万元（含）以上设备（不含车辆）0台（套）。</w:t>
      </w:r>
    </w:p>
    <w:p w14:paraId="42336E03">
      <w:pPr>
        <w:spacing w:line="640" w:lineRule="exact"/>
        <w:ind w:firstLine="640"/>
        <w:jc w:val="both"/>
        <w:outlineLvl w:val="2"/>
      </w:pPr>
      <w:r>
        <w:rPr>
          <w:rFonts w:ascii="黑体" w:hAnsi="黑体" w:eastAsia="黑体"/>
          <w:sz w:val="32"/>
        </w:rPr>
        <w:t>十一、预算绩效的情况说明</w:t>
      </w:r>
    </w:p>
    <w:p w14:paraId="103D187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8,330.60万元，实际执行总额8,330.60万元；预算绩效评价项目4个，全年预算数563.56万元，全年执行数480.40万元。预算绩效管理取得的成效：一是实现了预算绩效目标与部门预算“四同步”；二是预算绩效信息公开程度不断提高。发现的问题及原因：一是评价指标体系不健全，实际操作有困难；二是预算绩效观念不强，工作质</w:t>
      </w:r>
      <w:r>
        <w:rPr>
          <w:rFonts w:hint="eastAsia" w:ascii="仿宋_GB2312" w:hAnsi="仿宋_GB2312" w:eastAsia="仿宋_GB2312"/>
          <w:b w:val="0"/>
          <w:sz w:val="32"/>
          <w:lang w:eastAsia="zh-CN"/>
        </w:rPr>
        <w:t>量有</w:t>
      </w:r>
      <w:r>
        <w:rPr>
          <w:rFonts w:ascii="仿宋_GB2312" w:hAnsi="仿宋_GB2312" w:eastAsia="仿宋_GB2312"/>
          <w:b w:val="0"/>
          <w:sz w:val="32"/>
        </w:rPr>
        <w:t>待提高。下一步改进措施：一是不断提升预算绩效管理意识；二是继续完善预算绩效管理基础工作。具体附整体支出绩效自评表，项目支出绩效自评表和评价报告。</w:t>
      </w:r>
    </w:p>
    <w:p w14:paraId="233E016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18D50F3">
        <w:tblPrEx>
          <w:tblCellMar>
            <w:top w:w="0" w:type="dxa"/>
            <w:left w:w="108" w:type="dxa"/>
            <w:bottom w:w="0" w:type="dxa"/>
            <w:right w:w="108" w:type="dxa"/>
          </w:tblCellMar>
        </w:tblPrEx>
        <w:tc>
          <w:tcPr>
            <w:tcW w:w="8840" w:type="dxa"/>
            <w:gridSpan w:val="8"/>
            <w:vAlign w:val="center"/>
          </w:tcPr>
          <w:p w14:paraId="22C939EA">
            <w:pPr>
              <w:jc w:val="center"/>
            </w:pPr>
            <w:r>
              <w:rPr>
                <w:rFonts w:hint="eastAsia" w:ascii="宋体" w:hAnsi="宋体"/>
                <w:sz w:val="24"/>
                <w:lang w:eastAsia="zh-CN"/>
              </w:rPr>
              <w:t>单位</w:t>
            </w:r>
            <w:r>
              <w:rPr>
                <w:rFonts w:ascii="宋体" w:hAnsi="宋体" w:eastAsia="宋体"/>
                <w:sz w:val="24"/>
              </w:rPr>
              <w:t>整体支出绩效自评表</w:t>
            </w:r>
          </w:p>
        </w:tc>
      </w:tr>
      <w:tr w14:paraId="7CFDA47A">
        <w:tblPrEx>
          <w:tblCellMar>
            <w:top w:w="0" w:type="dxa"/>
            <w:left w:w="108" w:type="dxa"/>
            <w:bottom w:w="0" w:type="dxa"/>
            <w:right w:w="108" w:type="dxa"/>
          </w:tblCellMar>
        </w:tblPrEx>
        <w:tc>
          <w:tcPr>
            <w:tcW w:w="8840" w:type="dxa"/>
            <w:gridSpan w:val="8"/>
            <w:vAlign w:val="center"/>
          </w:tcPr>
          <w:p w14:paraId="4AE7BE71">
            <w:pPr>
              <w:jc w:val="center"/>
            </w:pPr>
            <w:r>
              <w:rPr>
                <w:rFonts w:ascii="宋体" w:hAnsi="宋体" w:eastAsia="宋体"/>
                <w:sz w:val="24"/>
              </w:rPr>
              <w:t>（2024年度）</w:t>
            </w:r>
          </w:p>
        </w:tc>
      </w:tr>
      <w:tr w14:paraId="22028E5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9574F">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8976C">
            <w:pPr>
              <w:jc w:val="center"/>
            </w:pPr>
            <w:r>
              <w:rPr>
                <w:rFonts w:ascii="宋体" w:hAnsi="宋体" w:eastAsia="宋体"/>
                <w:sz w:val="16"/>
              </w:rPr>
              <w:t>特克斯县呼吉尔特蒙古族乡人民政府</w:t>
            </w:r>
          </w:p>
        </w:tc>
      </w:tr>
      <w:tr w14:paraId="6A8745B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B287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5EDF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B968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99A9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7158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C6BC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5118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29CF2">
            <w:pPr>
              <w:jc w:val="center"/>
            </w:pPr>
            <w:r>
              <w:rPr>
                <w:rFonts w:ascii="宋体" w:hAnsi="宋体" w:eastAsia="宋体"/>
                <w:sz w:val="16"/>
              </w:rPr>
              <w:t>得分</w:t>
            </w:r>
          </w:p>
        </w:tc>
      </w:tr>
      <w:tr w14:paraId="02C368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88F6C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F988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20AC2">
            <w:pPr>
              <w:jc w:val="center"/>
            </w:pPr>
            <w:r>
              <w:rPr>
                <w:rFonts w:ascii="宋体" w:hAnsi="宋体" w:eastAsia="宋体"/>
                <w:sz w:val="16"/>
              </w:rPr>
              <w:t>4,855.11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4BC2E">
            <w:pPr>
              <w:jc w:val="center"/>
            </w:pPr>
            <w:r>
              <w:rPr>
                <w:rFonts w:ascii="宋体" w:hAnsi="宋体" w:eastAsia="宋体"/>
                <w:sz w:val="16"/>
              </w:rPr>
              <w:t>8,330.60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16D9C">
            <w:pPr>
              <w:jc w:val="center"/>
            </w:pPr>
            <w:r>
              <w:rPr>
                <w:rFonts w:ascii="宋体" w:hAnsi="宋体" w:eastAsia="宋体"/>
                <w:sz w:val="16"/>
              </w:rPr>
              <w:t>8,330.60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EADB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43F4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F6844">
            <w:pPr>
              <w:jc w:val="center"/>
            </w:pPr>
            <w:r>
              <w:rPr>
                <w:rFonts w:ascii="宋体" w:hAnsi="宋体" w:eastAsia="宋体"/>
                <w:sz w:val="16"/>
              </w:rPr>
              <w:t>10</w:t>
            </w:r>
          </w:p>
        </w:tc>
      </w:tr>
      <w:tr w14:paraId="4CF651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C193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1FB1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A06C5">
            <w:pPr>
              <w:jc w:val="center"/>
            </w:pPr>
            <w:r>
              <w:rPr>
                <w:rFonts w:ascii="宋体" w:hAnsi="宋体" w:eastAsia="宋体"/>
                <w:sz w:val="16"/>
              </w:rPr>
              <w:t>2,759.00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691B8">
            <w:pPr>
              <w:jc w:val="center"/>
            </w:pPr>
            <w:r>
              <w:rPr>
                <w:rFonts w:ascii="宋体" w:hAnsi="宋体" w:eastAsia="宋体"/>
                <w:sz w:val="16"/>
              </w:rPr>
              <w:t>3,580.79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723F8">
            <w:pPr>
              <w:jc w:val="center"/>
            </w:pPr>
            <w:r>
              <w:rPr>
                <w:rFonts w:ascii="宋体" w:hAnsi="宋体" w:eastAsia="宋体"/>
                <w:sz w:val="16"/>
              </w:rPr>
              <w:t>3,580.79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E07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B7E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8150B">
            <w:pPr>
              <w:jc w:val="center"/>
            </w:pPr>
            <w:r>
              <w:rPr>
                <w:rFonts w:ascii="宋体" w:hAnsi="宋体" w:eastAsia="宋体"/>
                <w:sz w:val="16"/>
              </w:rPr>
              <w:t>-</w:t>
            </w:r>
          </w:p>
        </w:tc>
      </w:tr>
      <w:tr w14:paraId="01AFED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978A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328A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260EE">
            <w:pPr>
              <w:jc w:val="center"/>
            </w:pPr>
            <w:r>
              <w:rPr>
                <w:rFonts w:ascii="宋体" w:hAnsi="宋体" w:eastAsia="宋体"/>
                <w:sz w:val="16"/>
              </w:rPr>
              <w:t>2,096.11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CFD74">
            <w:pPr>
              <w:jc w:val="center"/>
            </w:pPr>
            <w:r>
              <w:rPr>
                <w:rFonts w:ascii="宋体" w:hAnsi="宋体" w:eastAsia="宋体"/>
                <w:sz w:val="16"/>
              </w:rPr>
              <w:t>4,749.81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41E95">
            <w:pPr>
              <w:jc w:val="center"/>
            </w:pPr>
            <w:r>
              <w:rPr>
                <w:rFonts w:ascii="宋体" w:hAnsi="宋体" w:eastAsia="宋体"/>
                <w:sz w:val="16"/>
              </w:rPr>
              <w:t>4,749.81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AA3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723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70515">
            <w:pPr>
              <w:jc w:val="center"/>
            </w:pPr>
            <w:r>
              <w:rPr>
                <w:rFonts w:ascii="宋体" w:hAnsi="宋体" w:eastAsia="宋体"/>
                <w:sz w:val="16"/>
              </w:rPr>
              <w:t>-</w:t>
            </w:r>
          </w:p>
        </w:tc>
      </w:tr>
      <w:tr w14:paraId="06B7CF4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88358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572C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3573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3E59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03D0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7CF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ACC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F6F76">
            <w:pPr>
              <w:jc w:val="center"/>
            </w:pPr>
            <w:r>
              <w:rPr>
                <w:rFonts w:ascii="宋体" w:hAnsi="宋体" w:eastAsia="宋体"/>
                <w:sz w:val="16"/>
              </w:rPr>
              <w:t>-</w:t>
            </w:r>
          </w:p>
        </w:tc>
      </w:tr>
      <w:tr w14:paraId="185FF6F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6D117">
            <w:pPr>
              <w:jc w:val="center"/>
            </w:pPr>
            <w:r>
              <w:rPr>
                <w:rFonts w:ascii="宋体" w:hAnsi="宋体" w:eastAsia="宋体"/>
                <w:sz w:val="16"/>
              </w:rPr>
              <w:t>年度总体目标</w:t>
            </w:r>
          </w:p>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5C5B1">
            <w:pPr>
              <w:jc w:val="center"/>
            </w:pPr>
            <w:r>
              <w:rPr>
                <w:rFonts w:ascii="宋体" w:hAnsi="宋体" w:eastAsia="宋体"/>
                <w:sz w:val="16"/>
              </w:rPr>
              <w:t>预期目标</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E12647">
            <w:pPr>
              <w:jc w:val="center"/>
            </w:pPr>
            <w:r>
              <w:rPr>
                <w:rFonts w:ascii="宋体" w:hAnsi="宋体" w:eastAsia="宋体"/>
                <w:sz w:val="16"/>
              </w:rPr>
              <w:t>实际完成情况</w:t>
            </w:r>
          </w:p>
        </w:tc>
      </w:tr>
      <w:tr w14:paraId="5A0138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FF255D"/>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9012">
            <w:pPr>
              <w:jc w:val="both"/>
            </w:pPr>
            <w:r>
              <w:rPr>
                <w:rFonts w:ascii="宋体" w:hAnsi="宋体" w:eastAsia="宋体"/>
                <w:sz w:val="16"/>
              </w:rPr>
              <w:t>2024年，呼吉尔特蒙古族乡将以贯彻习近平新时代中国特色社会主义思想为指导，全面贯彻党的十二大和二十届二中全会精神，紧紧围绕州党委“16661”重点举措，认清形势任务，勇于直面问题。一是聚力打造特克斯八卦城核心功能拓展承载区、蒙古民族体验休闲地、现代农牧商旅分融合地、红庙文化溯源迎宾地、农业产业园配套支撑地。二是打破城郊乡建设发展制约瓶颈，着力推动打造伊犁州乡村旅游新磁极、自治区乡村振兴示范村，理清乡域经济发展新思路。三是扎实稳定基础，盯紧四大关键性工作，夯实六大发展支撑，实施六大民生工程，抓牢党建这一保证。</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D002DC">
            <w:pPr>
              <w:jc w:val="both"/>
            </w:pPr>
            <w:r>
              <w:rPr>
                <w:rFonts w:ascii="宋体" w:hAnsi="宋体" w:eastAsia="宋体"/>
                <w:sz w:val="16"/>
              </w:rPr>
              <w:t>以习近平新时代中国特色社会主义思想为指导，聚焦“共同团结奋斗、共同繁荣发展”主题，围绕“民生改善、产业提质、团结和谐”三大目标，统筹推进民族团结创建、社会保障、就业创业、产业发展和民生保障等重点工作，确保各项目标任务高质量完成，奋力建设宜居宜业和美乡村。</w:t>
            </w:r>
            <w:r>
              <w:rPr>
                <w:rFonts w:ascii="宋体" w:hAnsi="宋体" w:eastAsia="宋体"/>
                <w:sz w:val="16"/>
              </w:rPr>
              <w:br w:type="textWrapping"/>
            </w:r>
            <w:r>
              <w:rPr>
                <w:rFonts w:ascii="宋体" w:hAnsi="宋体" w:eastAsia="宋体"/>
                <w:sz w:val="16"/>
              </w:rPr>
              <w:t>1</w:t>
            </w:r>
            <w:r>
              <w:rPr>
                <w:rFonts w:hint="eastAsia" w:ascii="宋体" w:hAnsi="宋体"/>
                <w:sz w:val="16"/>
                <w:lang w:eastAsia="zh-CN"/>
              </w:rPr>
              <w:t>.民</w:t>
            </w:r>
            <w:r>
              <w:rPr>
                <w:rFonts w:ascii="宋体" w:hAnsi="宋体" w:eastAsia="宋体"/>
                <w:sz w:val="16"/>
              </w:rPr>
              <w:t>族团结示范家庭创建：评选认定“民族团结示范家庭”10户，推动各民族家庭在交往交流交融中增进团结、共促发展。2.社会保障巩固提升：保持城乡居民基本养老保险、医疗保险参保率稳定在98%以上，实现应保尽保。3.就业创业提质增效：完成</w:t>
            </w:r>
            <w:r>
              <w:rPr>
                <w:rFonts w:hint="eastAsia" w:ascii="宋体" w:hAnsi="宋体"/>
                <w:sz w:val="16"/>
                <w:lang w:eastAsia="zh-CN"/>
              </w:rPr>
              <w:t>富余</w:t>
            </w:r>
            <w:r>
              <w:rPr>
                <w:rFonts w:ascii="宋体" w:hAnsi="宋体" w:eastAsia="宋体"/>
                <w:sz w:val="16"/>
              </w:rPr>
              <w:t>劳动力转移就业3500人次，促进群众稳定增收。4.林果产业转型升级：全乡林果业总产量达到2243.5吨，推动特色林果业规模化、标准化、品牌化发展。5.民生保障全面夯实：实现安居房入住率100%、义务教育入学率100%，保障群众住有所居、学有所教。6.示范家庭评选与培育制定《“民族团结示范家庭”评选标准》，聚焦“爱国守法、团结和睦、勤劳致富、文明新风、共建共享”五大维度，通过家庭自荐、村（社区）推荐、乡级评审等程序，选树10户示范家庭。</w:t>
            </w:r>
            <w:r>
              <w:rPr>
                <w:rFonts w:ascii="宋体" w:hAnsi="宋体" w:eastAsia="宋体"/>
                <w:sz w:val="16"/>
              </w:rPr>
              <w:br w:type="textWrapping"/>
            </w:r>
            <w:r>
              <w:rPr>
                <w:rFonts w:ascii="宋体" w:hAnsi="宋体" w:eastAsia="宋体"/>
                <w:sz w:val="16"/>
              </w:rPr>
              <w:t>组织示范家庭开展“民族团结一家亲”结对帮扶活动，每户示范家庭结对2-3户不同民族家庭，通过互学语言、共办节庆、技术帮扶等形式，促进各民族交往交流交融。 7.参保扩面与精准服务以村（社区）为</w:t>
            </w:r>
            <w:r>
              <w:rPr>
                <w:rFonts w:hint="eastAsia" w:ascii="宋体" w:hAnsi="宋体"/>
                <w:sz w:val="16"/>
                <w:lang w:eastAsia="zh-CN"/>
              </w:rPr>
              <w:t>单位</w:t>
            </w:r>
            <w:r>
              <w:rPr>
                <w:rFonts w:ascii="宋体" w:hAnsi="宋体" w:eastAsia="宋体"/>
                <w:sz w:val="16"/>
              </w:rPr>
              <w:t>，建立“未参保人员动态台账”，通过入户走访、电话提醒、政策解读等方式，重点针对脱贫户、流动人口等群体开展参保动员，确保参保率稳定在98%以上。 8.劳动力精准摸排与培训开展全乡劳动力资源普查，建立“</w:t>
            </w:r>
            <w:r>
              <w:rPr>
                <w:rFonts w:hint="eastAsia" w:ascii="宋体" w:hAnsi="宋体"/>
                <w:sz w:val="16"/>
                <w:lang w:eastAsia="zh-CN"/>
              </w:rPr>
              <w:t>富余劳动力</w:t>
            </w:r>
            <w:r>
              <w:rPr>
                <w:rFonts w:ascii="宋体" w:hAnsi="宋体" w:eastAsia="宋体"/>
                <w:sz w:val="16"/>
              </w:rPr>
              <w:t>数据库”，精准掌握年龄、技能、就业意愿等信息，分类制定就业帮扶计划。9.标准化种植与技术提升10安居房后续管理与服务对全乡已建成的安居房开展“回头看”，建立住房安全动态监测机制，及时解决房屋维修、配套设施完善等问题，确保入住率100%。11.义务教育质量提升</w:t>
            </w:r>
            <w:r>
              <w:rPr>
                <w:rFonts w:ascii="宋体" w:hAnsi="宋体" w:eastAsia="宋体"/>
                <w:sz w:val="16"/>
              </w:rPr>
              <w:br w:type="textWrapping"/>
            </w:r>
            <w:r>
              <w:rPr>
                <w:rFonts w:ascii="宋体" w:hAnsi="宋体" w:eastAsia="宋体"/>
                <w:sz w:val="16"/>
              </w:rPr>
              <w:t>落实控辍保学“双线责任”，通过教师家访、政策宣传、关爱帮扶等措施，确保义务教育入学率100%。</w:t>
            </w:r>
          </w:p>
        </w:tc>
      </w:tr>
      <w:tr w14:paraId="378CDED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DB97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5839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3307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A016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529C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D1404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3850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985D3">
            <w:pPr>
              <w:jc w:val="center"/>
            </w:pPr>
            <w:r>
              <w:rPr>
                <w:rFonts w:ascii="宋体" w:hAnsi="宋体" w:eastAsia="宋体"/>
                <w:sz w:val="16"/>
              </w:rPr>
              <w:t>得分</w:t>
            </w:r>
          </w:p>
        </w:tc>
      </w:tr>
      <w:tr w14:paraId="3F5A8B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5D8B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2A7C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7D562">
            <w:pPr>
              <w:jc w:val="center"/>
            </w:pPr>
            <w:r>
              <w:rPr>
                <w:rFonts w:ascii="宋体" w:hAnsi="宋体" w:eastAsia="宋体"/>
                <w:sz w:val="16"/>
              </w:rPr>
              <w:t>全乡林果产量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54304">
            <w:pPr>
              <w:jc w:val="center"/>
            </w:pPr>
            <w:r>
              <w:rPr>
                <w:rFonts w:ascii="宋体" w:hAnsi="宋体" w:eastAsia="宋体"/>
                <w:sz w:val="16"/>
              </w:rPr>
              <w:t>&gt;=2243.50吨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62A91">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F59C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9A02D">
            <w:pPr>
              <w:jc w:val="center"/>
            </w:pPr>
            <w:r>
              <w:rPr>
                <w:rFonts w:ascii="宋体" w:hAnsi="宋体" w:eastAsia="宋体"/>
                <w:sz w:val="16"/>
              </w:rPr>
              <w:t>6875.2吨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F29A0">
            <w:pPr>
              <w:jc w:val="center"/>
            </w:pPr>
            <w:r>
              <w:rPr>
                <w:rFonts w:ascii="宋体" w:hAnsi="宋体" w:eastAsia="宋体"/>
                <w:sz w:val="16"/>
              </w:rPr>
              <w:t>15</w:t>
            </w:r>
          </w:p>
        </w:tc>
      </w:tr>
      <w:tr w14:paraId="1472884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BC38A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E7CA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6CCE7B">
            <w:pPr>
              <w:jc w:val="center"/>
            </w:pPr>
            <w:r>
              <w:rPr>
                <w:rFonts w:hint="eastAsia" w:ascii="宋体" w:hAnsi="宋体"/>
                <w:sz w:val="16"/>
                <w:lang w:eastAsia="zh-CN"/>
              </w:rPr>
              <w:t>富余</w:t>
            </w:r>
            <w:r>
              <w:rPr>
                <w:rFonts w:ascii="宋体" w:hAnsi="宋体" w:eastAsia="宋体"/>
                <w:sz w:val="16"/>
              </w:rPr>
              <w:t>劳动力转移就业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9D20E">
            <w:pPr>
              <w:jc w:val="center"/>
            </w:pPr>
            <w:r>
              <w:rPr>
                <w:rFonts w:ascii="宋体" w:hAnsi="宋体" w:eastAsia="宋体"/>
                <w:sz w:val="16"/>
              </w:rPr>
              <w:t>&gt;=3500人次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13F0B">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0273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93D37">
            <w:pPr>
              <w:jc w:val="center"/>
            </w:pPr>
            <w:r>
              <w:rPr>
                <w:rFonts w:ascii="宋体" w:hAnsi="宋体" w:eastAsia="宋体"/>
                <w:sz w:val="16"/>
              </w:rPr>
              <w:t>3865人次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65075">
            <w:pPr>
              <w:jc w:val="center"/>
            </w:pPr>
            <w:r>
              <w:rPr>
                <w:rFonts w:ascii="宋体" w:hAnsi="宋体" w:eastAsia="宋体"/>
                <w:sz w:val="16"/>
              </w:rPr>
              <w:t>15</w:t>
            </w:r>
          </w:p>
        </w:tc>
      </w:tr>
      <w:tr w14:paraId="31CD27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B0578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4036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AACD6">
            <w:pPr>
              <w:jc w:val="center"/>
            </w:pPr>
            <w:r>
              <w:rPr>
                <w:rFonts w:ascii="宋体" w:hAnsi="宋体" w:eastAsia="宋体"/>
                <w:sz w:val="16"/>
              </w:rPr>
              <w:t>安居房入住率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1A3E67">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E2FE1">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3834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9CEB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5DA7F">
            <w:pPr>
              <w:jc w:val="center"/>
            </w:pPr>
            <w:r>
              <w:rPr>
                <w:rFonts w:ascii="宋体" w:hAnsi="宋体" w:eastAsia="宋体"/>
                <w:sz w:val="16"/>
              </w:rPr>
              <w:t>15</w:t>
            </w:r>
          </w:p>
        </w:tc>
      </w:tr>
      <w:tr w14:paraId="0B6FAE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F8539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B3B3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EDAD3">
            <w:pPr>
              <w:jc w:val="center"/>
            </w:pPr>
            <w:r>
              <w:rPr>
                <w:rFonts w:ascii="宋体" w:hAnsi="宋体" w:eastAsia="宋体"/>
                <w:sz w:val="16"/>
              </w:rPr>
              <w:t>各险种参保率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D1DBB">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FB373">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3172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FB99B">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07901">
            <w:pPr>
              <w:jc w:val="center"/>
            </w:pPr>
            <w:r>
              <w:rPr>
                <w:rFonts w:ascii="宋体" w:hAnsi="宋体" w:eastAsia="宋体"/>
                <w:sz w:val="16"/>
              </w:rPr>
              <w:t>15</w:t>
            </w:r>
          </w:p>
        </w:tc>
      </w:tr>
      <w:tr w14:paraId="13FCDA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F3A9AC"/>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3D10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AD017">
            <w:pPr>
              <w:jc w:val="center"/>
            </w:pPr>
            <w:r>
              <w:rPr>
                <w:rFonts w:ascii="宋体" w:hAnsi="宋体" w:eastAsia="宋体"/>
                <w:sz w:val="16"/>
              </w:rPr>
              <w:t>创建民族团结示范家庭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352A0">
            <w:pPr>
              <w:jc w:val="center"/>
            </w:pPr>
            <w:r>
              <w:rPr>
                <w:rFonts w:ascii="宋体" w:hAnsi="宋体" w:eastAsia="宋体"/>
                <w:sz w:val="16"/>
              </w:rPr>
              <w:t>=10户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852E6">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D263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4FCB0">
            <w:pPr>
              <w:jc w:val="center"/>
            </w:pPr>
            <w:r>
              <w:rPr>
                <w:rFonts w:ascii="宋体" w:hAnsi="宋体" w:eastAsia="宋体"/>
                <w:sz w:val="16"/>
              </w:rPr>
              <w:t>10户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C4E57">
            <w:pPr>
              <w:jc w:val="center"/>
            </w:pPr>
            <w:r>
              <w:rPr>
                <w:rFonts w:ascii="宋体" w:hAnsi="宋体" w:eastAsia="宋体"/>
                <w:sz w:val="16"/>
              </w:rPr>
              <w:t>15</w:t>
            </w:r>
          </w:p>
        </w:tc>
      </w:tr>
      <w:tr w14:paraId="2702F3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73E21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4FF5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126EC">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11A50">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558C5">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0266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5362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83F7A">
            <w:pPr>
              <w:jc w:val="center"/>
            </w:pPr>
            <w:r>
              <w:rPr>
                <w:rFonts w:ascii="宋体" w:hAnsi="宋体" w:eastAsia="宋体"/>
                <w:sz w:val="16"/>
              </w:rPr>
              <w:t>15</w:t>
            </w:r>
          </w:p>
        </w:tc>
      </w:tr>
    </w:tbl>
    <w:p w14:paraId="3CA693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58"/>
        <w:gridCol w:w="506"/>
        <w:gridCol w:w="632"/>
        <w:gridCol w:w="632"/>
        <w:gridCol w:w="632"/>
        <w:gridCol w:w="632"/>
        <w:gridCol w:w="632"/>
        <w:gridCol w:w="632"/>
        <w:gridCol w:w="632"/>
        <w:gridCol w:w="632"/>
        <w:gridCol w:w="632"/>
      </w:tblGrid>
      <w:tr w14:paraId="6DCE66EA">
        <w:tblPrEx>
          <w:tblCellMar>
            <w:top w:w="0" w:type="dxa"/>
            <w:left w:w="108" w:type="dxa"/>
            <w:bottom w:w="0" w:type="dxa"/>
            <w:right w:w="108" w:type="dxa"/>
          </w:tblCellMar>
        </w:tblPrEx>
        <w:tc>
          <w:tcPr>
            <w:tcW w:w="8848" w:type="dxa"/>
            <w:gridSpan w:val="14"/>
            <w:vAlign w:val="center"/>
          </w:tcPr>
          <w:p w14:paraId="6329A1D3">
            <w:pPr>
              <w:jc w:val="center"/>
            </w:pPr>
            <w:r>
              <w:rPr>
                <w:rFonts w:ascii="宋体" w:hAnsi="宋体" w:eastAsia="宋体"/>
                <w:sz w:val="24"/>
              </w:rPr>
              <w:t>项目支出绩效自评表</w:t>
            </w:r>
          </w:p>
        </w:tc>
      </w:tr>
      <w:tr w14:paraId="57054044">
        <w:tblPrEx>
          <w:tblCellMar>
            <w:top w:w="0" w:type="dxa"/>
            <w:left w:w="108" w:type="dxa"/>
            <w:bottom w:w="0" w:type="dxa"/>
            <w:right w:w="108" w:type="dxa"/>
          </w:tblCellMar>
        </w:tblPrEx>
        <w:tc>
          <w:tcPr>
            <w:tcW w:w="8848" w:type="dxa"/>
            <w:gridSpan w:val="14"/>
            <w:vAlign w:val="center"/>
          </w:tcPr>
          <w:p w14:paraId="1EF4B342">
            <w:pPr>
              <w:jc w:val="center"/>
            </w:pPr>
            <w:r>
              <w:rPr>
                <w:rFonts w:ascii="宋体" w:hAnsi="宋体" w:eastAsia="宋体"/>
                <w:sz w:val="24"/>
              </w:rPr>
              <w:t>(2024年度)</w:t>
            </w:r>
          </w:p>
        </w:tc>
      </w:tr>
      <w:tr w14:paraId="265B1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B7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E339B0">
            <w:pPr>
              <w:jc w:val="center"/>
            </w:pPr>
            <w:r>
              <w:rPr>
                <w:rFonts w:ascii="宋体" w:hAnsi="宋体" w:eastAsia="宋体"/>
                <w:sz w:val="16"/>
              </w:rPr>
              <w:t>伊州财农</w:t>
            </w:r>
            <w:r>
              <w:rPr>
                <w:rFonts w:hint="eastAsia" w:ascii="宋体" w:hAnsi="宋体"/>
                <w:sz w:val="16"/>
                <w:lang w:eastAsia="zh-CN"/>
              </w:rPr>
              <w:t>〔2023〕49号</w:t>
            </w:r>
            <w:r>
              <w:rPr>
                <w:rFonts w:ascii="宋体" w:hAnsi="宋体" w:eastAsia="宋体"/>
                <w:sz w:val="16"/>
              </w:rPr>
              <w:t>中央农村综合改革项目</w:t>
            </w:r>
          </w:p>
        </w:tc>
      </w:tr>
      <w:tr w14:paraId="07C6B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88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B2EAC">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695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B336A7">
            <w:pPr>
              <w:jc w:val="center"/>
            </w:pPr>
            <w:r>
              <w:rPr>
                <w:rFonts w:ascii="宋体" w:hAnsi="宋体" w:eastAsia="宋体"/>
                <w:sz w:val="16"/>
              </w:rPr>
              <w:t>特克斯县呼吉尔特蒙古民族乡人民政府</w:t>
            </w:r>
          </w:p>
        </w:tc>
      </w:tr>
      <w:tr w14:paraId="66D5E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F980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44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BE8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6B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9C9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05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030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B941">
            <w:pPr>
              <w:jc w:val="center"/>
            </w:pPr>
            <w:r>
              <w:rPr>
                <w:rFonts w:ascii="宋体" w:hAnsi="宋体" w:eastAsia="宋体"/>
                <w:sz w:val="16"/>
              </w:rPr>
              <w:t>得分</w:t>
            </w:r>
          </w:p>
        </w:tc>
      </w:tr>
      <w:tr w14:paraId="5E839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74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F6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C10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D7AA8">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1029">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E3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4AE8">
            <w:pPr>
              <w:jc w:val="center"/>
            </w:pPr>
            <w:r>
              <w:rPr>
                <w:rFonts w:ascii="宋体" w:hAnsi="宋体" w:eastAsia="宋体"/>
                <w:sz w:val="16"/>
              </w:rPr>
              <w:t>64.67%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8808">
            <w:pPr>
              <w:jc w:val="center"/>
            </w:pPr>
            <w:r>
              <w:rPr>
                <w:rFonts w:ascii="宋体" w:hAnsi="宋体" w:eastAsia="宋体"/>
                <w:sz w:val="16"/>
              </w:rPr>
              <w:t>1.17</w:t>
            </w:r>
          </w:p>
        </w:tc>
      </w:tr>
      <w:tr w14:paraId="198F1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0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77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559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1A9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1CE5F">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B70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03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9BAD">
            <w:pPr>
              <w:jc w:val="center"/>
            </w:pPr>
            <w:r>
              <w:rPr>
                <w:rFonts w:ascii="宋体" w:hAnsi="宋体" w:eastAsia="宋体"/>
                <w:sz w:val="16"/>
              </w:rPr>
              <w:t>—</w:t>
            </w:r>
          </w:p>
        </w:tc>
      </w:tr>
      <w:tr w14:paraId="689A0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556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C81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A3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C4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E56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A5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E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F288">
            <w:pPr>
              <w:jc w:val="center"/>
            </w:pPr>
            <w:r>
              <w:rPr>
                <w:rFonts w:ascii="宋体" w:hAnsi="宋体" w:eastAsia="宋体"/>
                <w:sz w:val="16"/>
              </w:rPr>
              <w:t>—</w:t>
            </w:r>
          </w:p>
        </w:tc>
      </w:tr>
      <w:tr w14:paraId="6DCC8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736CA">
            <w:pPr>
              <w:jc w:val="center"/>
            </w:pPr>
            <w:r>
              <w:rPr>
                <w:rFonts w:ascii="宋体" w:hAnsi="宋体" w:eastAsia="宋体"/>
                <w:sz w:val="16"/>
              </w:rPr>
              <w:t>年度总体目标</w:t>
            </w:r>
          </w:p>
        </w:tc>
        <w:tc>
          <w:tcPr>
            <w:tcW w:w="6320"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1DFCAECB">
            <w:pPr>
              <w:jc w:val="center"/>
            </w:pPr>
            <w:r>
              <w:rPr>
                <w:rFonts w:ascii="宋体" w:hAnsi="宋体" w:eastAsia="宋体"/>
                <w:sz w:val="16"/>
              </w:rPr>
              <w:t>预期目标</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076043">
            <w:pPr>
              <w:jc w:val="center"/>
            </w:pPr>
            <w:r>
              <w:rPr>
                <w:rFonts w:ascii="宋体" w:hAnsi="宋体" w:eastAsia="宋体"/>
                <w:sz w:val="16"/>
              </w:rPr>
              <w:t>实际完成情况</w:t>
            </w:r>
          </w:p>
        </w:tc>
      </w:tr>
      <w:tr w14:paraId="4E431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6AB6"/>
        </w:tc>
        <w:tc>
          <w:tcPr>
            <w:tcW w:w="6320"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335C9B57">
            <w:pPr>
              <w:jc w:val="both"/>
            </w:pPr>
            <w:r>
              <w:rPr>
                <w:rFonts w:hint="eastAsia" w:ascii="宋体" w:hAnsi="宋体"/>
                <w:sz w:val="16"/>
                <w:lang w:eastAsia="zh-CN"/>
              </w:rPr>
              <w:t>1.</w:t>
            </w:r>
            <w:r>
              <w:rPr>
                <w:rFonts w:ascii="宋体" w:hAnsi="宋体" w:eastAsia="宋体"/>
                <w:sz w:val="16"/>
              </w:rPr>
              <w:t>以农村绿化美化为重点，持续改善农村生产生活条件，满足农民群众日益增长的美好生活需要，让农村具备更好的生活条件，打造宜居宜业的美丽乡村。</w:t>
            </w:r>
            <w:r>
              <w:rPr>
                <w:rFonts w:ascii="宋体" w:hAnsi="宋体" w:eastAsia="宋体"/>
                <w:sz w:val="16"/>
              </w:rPr>
              <w:br w:type="textWrapping"/>
            </w:r>
            <w:r>
              <w:rPr>
                <w:rFonts w:ascii="宋体" w:hAnsi="宋体" w:eastAsia="宋体"/>
                <w:sz w:val="16"/>
              </w:rPr>
              <w:t>2、充分利用特克斯县旅游资源优势，交通方便快捷、旅游要素多、民俗文化深厚等，促进村庄核心区产业健康发展，为打造自治区级乡村振兴示范村奠定基础。</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9F886F">
            <w:pPr>
              <w:jc w:val="both"/>
            </w:pPr>
            <w:r>
              <w:rPr>
                <w:rFonts w:hint="eastAsia" w:ascii="宋体" w:hAnsi="宋体"/>
                <w:sz w:val="16"/>
                <w:lang w:eastAsia="zh-CN"/>
              </w:rPr>
              <w:t>1.</w:t>
            </w:r>
            <w:r>
              <w:rPr>
                <w:rFonts w:ascii="宋体" w:hAnsi="宋体" w:eastAsia="宋体"/>
                <w:sz w:val="16"/>
              </w:rPr>
              <w:t>种植梧桐202棵</w:t>
            </w:r>
            <w:r>
              <w:rPr>
                <w:rFonts w:ascii="宋体" w:hAnsi="宋体" w:eastAsia="宋体"/>
                <w:sz w:val="16"/>
              </w:rPr>
              <w:br w:type="textWrapping"/>
            </w:r>
            <w:r>
              <w:rPr>
                <w:rFonts w:ascii="宋体" w:hAnsi="宋体" w:eastAsia="宋体"/>
                <w:sz w:val="16"/>
              </w:rPr>
              <w:t>2、种植北美海棠160棵</w:t>
            </w:r>
          </w:p>
        </w:tc>
      </w:tr>
      <w:tr w14:paraId="7CC984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41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E5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4364">
            <w:pPr>
              <w:jc w:val="center"/>
            </w:pPr>
            <w:r>
              <w:rPr>
                <w:rFonts w:ascii="宋体" w:hAnsi="宋体" w:eastAsia="宋体"/>
                <w:sz w:val="16"/>
              </w:rPr>
              <w:t>二级指标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C0AE69F">
            <w:pPr>
              <w:jc w:val="center"/>
            </w:pPr>
            <w:r>
              <w:rPr>
                <w:rFonts w:ascii="宋体" w:hAnsi="宋体" w:eastAsia="宋体"/>
                <w:sz w:val="16"/>
              </w:rPr>
              <w:t>三级指标</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5043CE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0BD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92F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91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629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BD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41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4B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EE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54EC">
            <w:pPr>
              <w:jc w:val="center"/>
            </w:pPr>
            <w:r>
              <w:rPr>
                <w:rFonts w:ascii="宋体" w:hAnsi="宋体" w:eastAsia="宋体"/>
                <w:sz w:val="16"/>
              </w:rPr>
              <w:t>偏差原因分析及改进措施</w:t>
            </w:r>
          </w:p>
        </w:tc>
      </w:tr>
      <w:tr w14:paraId="0DF3ED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9E6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3661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51B2">
            <w:pPr>
              <w:jc w:val="center"/>
            </w:pPr>
            <w:r>
              <w:rPr>
                <w:rFonts w:ascii="宋体" w:hAnsi="宋体" w:eastAsia="宋体"/>
                <w:sz w:val="16"/>
              </w:rPr>
              <w:t>数量指标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3BD2902">
            <w:pPr>
              <w:jc w:val="center"/>
            </w:pPr>
            <w:r>
              <w:rPr>
                <w:rFonts w:ascii="宋体" w:hAnsi="宋体" w:eastAsia="宋体"/>
                <w:sz w:val="16"/>
              </w:rPr>
              <w:t>支持村内公益设施建设数量</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5D5EA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878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E45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7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4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A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B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2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4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8A77">
            <w:pPr>
              <w:jc w:val="center"/>
            </w:pPr>
          </w:p>
        </w:tc>
      </w:tr>
      <w:tr w14:paraId="00464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C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C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333D">
            <w:pPr>
              <w:jc w:val="center"/>
            </w:pPr>
            <w:r>
              <w:rPr>
                <w:rFonts w:ascii="宋体" w:hAnsi="宋体" w:eastAsia="宋体"/>
                <w:sz w:val="16"/>
              </w:rPr>
              <w:t>质量指标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7A80B72">
            <w:pPr>
              <w:jc w:val="center"/>
            </w:pPr>
            <w:r>
              <w:rPr>
                <w:rFonts w:ascii="宋体" w:hAnsi="宋体" w:eastAsia="宋体"/>
                <w:sz w:val="16"/>
              </w:rPr>
              <w:t>村内公益设施建设验收合格率</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7959D9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5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9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8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4F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9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D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3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9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931A">
            <w:pPr>
              <w:jc w:val="center"/>
            </w:pPr>
          </w:p>
        </w:tc>
      </w:tr>
      <w:tr w14:paraId="4F93C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8E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32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071D">
            <w:pPr>
              <w:jc w:val="center"/>
            </w:pPr>
            <w:r>
              <w:rPr>
                <w:rFonts w:ascii="宋体" w:hAnsi="宋体" w:eastAsia="宋体"/>
                <w:sz w:val="16"/>
              </w:rPr>
              <w:t>时效指标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531BC83">
            <w:pPr>
              <w:jc w:val="center"/>
            </w:pPr>
            <w:r>
              <w:rPr>
                <w:rFonts w:ascii="宋体" w:hAnsi="宋体" w:eastAsia="宋体"/>
                <w:sz w:val="16"/>
              </w:rPr>
              <w:t>中央财政资金下达及时性</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0E9262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3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704E">
            <w:pPr>
              <w:jc w:val="center"/>
            </w:pPr>
            <w:r>
              <w:rPr>
                <w:rFonts w:ascii="宋体" w:hAnsi="宋体" w:eastAsia="宋体"/>
                <w:sz w:val="16"/>
              </w:rPr>
              <w:t>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1C44">
            <w:pPr>
              <w:jc w:val="center"/>
            </w:pPr>
            <w:r>
              <w:rPr>
                <w:rFonts w:ascii="宋体" w:hAnsi="宋体" w:eastAsia="宋体"/>
                <w:sz w:val="16"/>
              </w:rPr>
              <w:t>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8FC4">
            <w:pPr>
              <w:jc w:val="center"/>
            </w:pPr>
            <w:r>
              <w:rPr>
                <w:rFonts w:ascii="宋体" w:hAnsi="宋体" w:eastAsia="宋体"/>
                <w:sz w:val="16"/>
              </w:rPr>
              <w:t>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8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8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9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F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2B76">
            <w:pPr>
              <w:jc w:val="center"/>
            </w:pPr>
            <w:r>
              <w:rPr>
                <w:rFonts w:ascii="宋体" w:hAnsi="宋体" w:eastAsia="宋体"/>
                <w:sz w:val="16"/>
              </w:rPr>
              <w:t>按照合同约定支付</w:t>
            </w:r>
          </w:p>
        </w:tc>
      </w:tr>
      <w:tr w14:paraId="661B7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CA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E20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810FF">
            <w:pPr>
              <w:jc w:val="center"/>
            </w:pPr>
            <w:r>
              <w:rPr>
                <w:rFonts w:ascii="宋体" w:hAnsi="宋体" w:eastAsia="宋体"/>
                <w:sz w:val="16"/>
              </w:rPr>
              <w:t>经济成本指标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B4F1779">
            <w:pPr>
              <w:jc w:val="center"/>
            </w:pPr>
            <w:r>
              <w:rPr>
                <w:rFonts w:ascii="宋体" w:hAnsi="宋体" w:eastAsia="宋体"/>
                <w:sz w:val="16"/>
              </w:rPr>
              <w:t>呼吉尔特村建设项目成本</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0D17A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CDD3">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E7ED">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C342">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EFC1">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65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82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E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B5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2711">
            <w:pPr>
              <w:jc w:val="center"/>
            </w:pPr>
            <w:r>
              <w:rPr>
                <w:rFonts w:ascii="宋体" w:hAnsi="宋体" w:eastAsia="宋体"/>
                <w:sz w:val="16"/>
              </w:rPr>
              <w:t>按照项目完工97%支付</w:t>
            </w:r>
          </w:p>
        </w:tc>
      </w:tr>
      <w:tr w14:paraId="49C39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6C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36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DE580"/>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F37214E">
            <w:pPr>
              <w:jc w:val="center"/>
            </w:pPr>
            <w:r>
              <w:rPr>
                <w:rFonts w:ascii="宋体" w:hAnsi="宋体" w:eastAsia="宋体"/>
                <w:sz w:val="16"/>
              </w:rPr>
              <w:t>前进新村建设项目成本</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32410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0B63">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4FD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341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66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51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D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B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A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AF33">
            <w:pPr>
              <w:jc w:val="center"/>
            </w:pPr>
            <w:r>
              <w:rPr>
                <w:rFonts w:ascii="宋体" w:hAnsi="宋体" w:eastAsia="宋体"/>
                <w:sz w:val="16"/>
              </w:rPr>
              <w:t>按照合同约定支付</w:t>
            </w:r>
          </w:p>
        </w:tc>
      </w:tr>
      <w:tr w14:paraId="5A932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B1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39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9B6C"/>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265CD2C3">
            <w:pPr>
              <w:jc w:val="center"/>
            </w:pPr>
            <w:r>
              <w:rPr>
                <w:rFonts w:ascii="宋体" w:hAnsi="宋体" w:eastAsia="宋体"/>
                <w:sz w:val="16"/>
              </w:rPr>
              <w:t>库热村建设项目成本</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2F3D3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4C8E">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4F5C">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109B">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D00D">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95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F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0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92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6C8A">
            <w:pPr>
              <w:jc w:val="center"/>
            </w:pPr>
            <w:r>
              <w:rPr>
                <w:rFonts w:ascii="宋体" w:hAnsi="宋体" w:eastAsia="宋体"/>
                <w:sz w:val="16"/>
              </w:rPr>
              <w:t>按照项目完工97%支付</w:t>
            </w:r>
          </w:p>
        </w:tc>
      </w:tr>
      <w:tr w14:paraId="6C2E0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771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EA8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6EFF">
            <w:pPr>
              <w:jc w:val="center"/>
            </w:pPr>
            <w:r>
              <w:rPr>
                <w:rFonts w:ascii="宋体" w:hAnsi="宋体" w:eastAsia="宋体"/>
                <w:sz w:val="16"/>
              </w:rPr>
              <w:t>经济效益指标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5C90AC8B">
            <w:pPr>
              <w:jc w:val="center"/>
            </w:pPr>
            <w:r>
              <w:rPr>
                <w:rFonts w:ascii="宋体" w:hAnsi="宋体" w:eastAsia="宋体"/>
                <w:sz w:val="16"/>
              </w:rPr>
              <w:t>农村综合性改革试点试验地区乡村治理能力</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518F09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B51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699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2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8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E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5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A2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6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359F">
            <w:pPr>
              <w:jc w:val="center"/>
            </w:pPr>
          </w:p>
        </w:tc>
      </w:tr>
      <w:tr w14:paraId="176A8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59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E5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FA69">
            <w:pPr>
              <w:jc w:val="center"/>
            </w:pPr>
            <w:r>
              <w:rPr>
                <w:rFonts w:ascii="宋体" w:hAnsi="宋体" w:eastAsia="宋体"/>
                <w:sz w:val="16"/>
              </w:rPr>
              <w:t>生态效益指标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42A91CCB">
            <w:pPr>
              <w:jc w:val="center"/>
            </w:pPr>
            <w:r>
              <w:rPr>
                <w:rFonts w:ascii="宋体" w:hAnsi="宋体" w:eastAsia="宋体"/>
                <w:sz w:val="16"/>
              </w:rPr>
              <w:t>农村生态环境</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665D1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9AA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2AC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1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5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8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0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4A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B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535A">
            <w:pPr>
              <w:jc w:val="center"/>
            </w:pPr>
          </w:p>
        </w:tc>
      </w:tr>
      <w:tr w14:paraId="7BB28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E50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567D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F4B89">
            <w:pPr>
              <w:jc w:val="center"/>
            </w:pPr>
            <w:r>
              <w:rPr>
                <w:rFonts w:ascii="宋体" w:hAnsi="宋体" w:eastAsia="宋体"/>
                <w:sz w:val="16"/>
              </w:rPr>
              <w:t>满意度指标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33DCD121">
            <w:pPr>
              <w:jc w:val="center"/>
            </w:pPr>
            <w:r>
              <w:rPr>
                <w:rFonts w:ascii="宋体" w:hAnsi="宋体" w:eastAsia="宋体"/>
                <w:sz w:val="16"/>
              </w:rPr>
              <w:t>项目区农民满意度</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3AC4A8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DD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907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7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5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7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7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77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A6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B2F9">
            <w:pPr>
              <w:jc w:val="center"/>
            </w:pPr>
          </w:p>
        </w:tc>
      </w:tr>
      <w:tr w14:paraId="00609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6B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61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7169D"/>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3AED5F8C">
            <w:pPr>
              <w:jc w:val="center"/>
            </w:pPr>
            <w:r>
              <w:rPr>
                <w:rFonts w:ascii="宋体" w:hAnsi="宋体" w:eastAsia="宋体"/>
                <w:sz w:val="16"/>
              </w:rPr>
              <w:t>项目区基层干部满意度</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1CD78D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F97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77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3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2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E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8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5D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D4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80A1">
            <w:pPr>
              <w:jc w:val="center"/>
            </w:pPr>
          </w:p>
        </w:tc>
      </w:tr>
      <w:tr w14:paraId="7580CC3F">
        <w:tblPrEx>
          <w:tblCellMar>
            <w:top w:w="0" w:type="dxa"/>
            <w:left w:w="108" w:type="dxa"/>
            <w:bottom w:w="0" w:type="dxa"/>
            <w:right w:w="108" w:type="dxa"/>
          </w:tblCellMar>
        </w:tblPrEx>
        <w:tc>
          <w:tcPr>
            <w:tcW w:w="265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FE7D1B">
            <w:pPr>
              <w:jc w:val="center"/>
            </w:pPr>
            <w:r>
              <w:rPr>
                <w:rFonts w:ascii="宋体" w:hAnsi="宋体" w:eastAsia="宋体"/>
                <w:sz w:val="16"/>
              </w:rPr>
              <w:t>总分</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49E5A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FD8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DD9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C2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A282">
            <w:pPr>
              <w:jc w:val="center"/>
            </w:pPr>
            <w:r>
              <w:rPr>
                <w:rFonts w:ascii="宋体" w:hAnsi="宋体" w:eastAsia="宋体"/>
                <w:sz w:val="16"/>
              </w:rPr>
              <w:t>75.96分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67C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D9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383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C95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F5E33"/>
        </w:tc>
      </w:tr>
    </w:tbl>
    <w:p w14:paraId="03DC82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41484FD0">
        <w:tblPrEx>
          <w:tblCellMar>
            <w:top w:w="0" w:type="dxa"/>
            <w:left w:w="108" w:type="dxa"/>
            <w:bottom w:w="0" w:type="dxa"/>
            <w:right w:w="108" w:type="dxa"/>
          </w:tblCellMar>
        </w:tblPrEx>
        <w:tc>
          <w:tcPr>
            <w:tcW w:w="8848" w:type="dxa"/>
            <w:gridSpan w:val="14"/>
            <w:vAlign w:val="center"/>
          </w:tcPr>
          <w:p w14:paraId="70E66B87">
            <w:pPr>
              <w:jc w:val="center"/>
            </w:pPr>
            <w:r>
              <w:rPr>
                <w:rFonts w:ascii="宋体" w:hAnsi="宋体" w:eastAsia="宋体"/>
                <w:sz w:val="24"/>
              </w:rPr>
              <w:t>项目支出绩效自评表</w:t>
            </w:r>
          </w:p>
        </w:tc>
      </w:tr>
      <w:tr w14:paraId="187986BD">
        <w:tblPrEx>
          <w:tblCellMar>
            <w:top w:w="0" w:type="dxa"/>
            <w:left w:w="108" w:type="dxa"/>
            <w:bottom w:w="0" w:type="dxa"/>
            <w:right w:w="108" w:type="dxa"/>
          </w:tblCellMar>
        </w:tblPrEx>
        <w:tc>
          <w:tcPr>
            <w:tcW w:w="8848" w:type="dxa"/>
            <w:gridSpan w:val="14"/>
            <w:vAlign w:val="center"/>
          </w:tcPr>
          <w:p w14:paraId="00496B0D">
            <w:pPr>
              <w:jc w:val="center"/>
            </w:pPr>
            <w:r>
              <w:rPr>
                <w:rFonts w:ascii="宋体" w:hAnsi="宋体" w:eastAsia="宋体"/>
                <w:sz w:val="24"/>
              </w:rPr>
              <w:t>(2024年度)</w:t>
            </w:r>
          </w:p>
        </w:tc>
      </w:tr>
      <w:tr w14:paraId="48A538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D2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8D1F02">
            <w:pPr>
              <w:jc w:val="center"/>
            </w:pPr>
            <w:r>
              <w:rPr>
                <w:rFonts w:ascii="宋体" w:hAnsi="宋体" w:eastAsia="宋体"/>
                <w:sz w:val="16"/>
              </w:rPr>
              <w:t>伊州财建</w:t>
            </w:r>
            <w:r>
              <w:rPr>
                <w:rFonts w:hint="eastAsia" w:ascii="宋体" w:hAnsi="宋体"/>
                <w:sz w:val="16"/>
                <w:lang w:eastAsia="zh-CN"/>
              </w:rPr>
              <w:t>〔2024〕81号</w:t>
            </w:r>
            <w:r>
              <w:rPr>
                <w:rFonts w:ascii="宋体" w:hAnsi="宋体" w:eastAsia="宋体"/>
                <w:sz w:val="16"/>
              </w:rPr>
              <w:t>2024年城乡抗震安居工程呼吉尔特村牧民越冬放牧点生产用房（居住）建设项目</w:t>
            </w:r>
          </w:p>
        </w:tc>
      </w:tr>
      <w:tr w14:paraId="2570F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8D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84304">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388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22398">
            <w:pPr>
              <w:jc w:val="center"/>
            </w:pPr>
            <w:r>
              <w:rPr>
                <w:rFonts w:ascii="宋体" w:hAnsi="宋体" w:eastAsia="宋体"/>
                <w:sz w:val="16"/>
              </w:rPr>
              <w:t>特克斯县呼吉尔特蒙古民族乡人民政府</w:t>
            </w:r>
          </w:p>
        </w:tc>
      </w:tr>
      <w:tr w14:paraId="4A0070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6BDB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D6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AA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BB2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B0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D9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D3E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6082">
            <w:pPr>
              <w:jc w:val="center"/>
            </w:pPr>
            <w:r>
              <w:rPr>
                <w:rFonts w:ascii="宋体" w:hAnsi="宋体" w:eastAsia="宋体"/>
                <w:sz w:val="16"/>
              </w:rPr>
              <w:t>得分</w:t>
            </w:r>
          </w:p>
        </w:tc>
      </w:tr>
      <w:tr w14:paraId="10EF2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68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8A6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4EAD">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414B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1012">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B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61099">
            <w:pPr>
              <w:jc w:val="center"/>
            </w:pPr>
            <w:r>
              <w:rPr>
                <w:rFonts w:ascii="宋体" w:hAnsi="宋体" w:eastAsia="宋体"/>
                <w:sz w:val="16"/>
              </w:rPr>
              <w:t>79.89%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E243">
            <w:pPr>
              <w:jc w:val="center"/>
            </w:pPr>
            <w:r>
              <w:rPr>
                <w:rFonts w:ascii="宋体" w:hAnsi="宋体" w:eastAsia="宋体"/>
                <w:sz w:val="16"/>
              </w:rPr>
              <w:t>4.97</w:t>
            </w:r>
          </w:p>
        </w:tc>
      </w:tr>
      <w:tr w14:paraId="31B17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DED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38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E37B0">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56D0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61EF9">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0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A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B0A7">
            <w:pPr>
              <w:jc w:val="center"/>
            </w:pPr>
            <w:r>
              <w:rPr>
                <w:rFonts w:ascii="宋体" w:hAnsi="宋体" w:eastAsia="宋体"/>
                <w:sz w:val="16"/>
              </w:rPr>
              <w:t>—</w:t>
            </w:r>
          </w:p>
        </w:tc>
      </w:tr>
      <w:tr w14:paraId="4B1CC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46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F7A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96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16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37A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5ED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A9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B396">
            <w:pPr>
              <w:jc w:val="center"/>
            </w:pPr>
            <w:r>
              <w:rPr>
                <w:rFonts w:ascii="宋体" w:hAnsi="宋体" w:eastAsia="宋体"/>
                <w:sz w:val="16"/>
              </w:rPr>
              <w:t>—</w:t>
            </w:r>
          </w:p>
        </w:tc>
      </w:tr>
      <w:tr w14:paraId="5B9B46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204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2EA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3E6E4">
            <w:pPr>
              <w:jc w:val="center"/>
            </w:pPr>
            <w:r>
              <w:rPr>
                <w:rFonts w:ascii="宋体" w:hAnsi="宋体" w:eastAsia="宋体"/>
                <w:sz w:val="16"/>
              </w:rPr>
              <w:t>实际完成情况</w:t>
            </w:r>
          </w:p>
        </w:tc>
      </w:tr>
      <w:tr w14:paraId="4AAD6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B2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0CE68">
            <w:pPr>
              <w:jc w:val="both"/>
            </w:pPr>
            <w:r>
              <w:rPr>
                <w:rFonts w:ascii="宋体" w:hAnsi="宋体" w:eastAsia="宋体"/>
                <w:sz w:val="16"/>
              </w:rPr>
              <w:t>根据新建村</w:t>
            </w:r>
            <w:r>
              <w:rPr>
                <w:rFonts w:hint="eastAsia" w:ascii="宋体" w:hAnsi="宋体"/>
                <w:sz w:val="16"/>
                <w:lang w:eastAsia="zh-CN"/>
              </w:rPr>
              <w:t>〔2024〕4号</w:t>
            </w:r>
            <w:r>
              <w:rPr>
                <w:rFonts w:ascii="宋体" w:hAnsi="宋体" w:eastAsia="宋体"/>
                <w:sz w:val="16"/>
              </w:rPr>
              <w:t>新疆维吾尔自治区牧民越冬放牧点生产用房（居住）安全隐患排查技术指导、放牧点生产用房（居住）建设导则的要求，特克斯县呼吉尔特蒙古族乡对存在安全隐患牧民越冬放牧点生产用房（居住）50户全部建成安全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6D245">
            <w:pPr>
              <w:jc w:val="both"/>
            </w:pPr>
            <w:r>
              <w:rPr>
                <w:rFonts w:ascii="宋体" w:hAnsi="宋体" w:eastAsia="宋体"/>
                <w:sz w:val="16"/>
              </w:rPr>
              <w:t>目前50套房子建完。</w:t>
            </w:r>
          </w:p>
        </w:tc>
      </w:tr>
      <w:tr w14:paraId="51ACE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45A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2B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9D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42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8F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65D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2CD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37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A8F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31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67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B5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E2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07F1">
            <w:pPr>
              <w:jc w:val="center"/>
            </w:pPr>
            <w:r>
              <w:rPr>
                <w:rFonts w:ascii="宋体" w:hAnsi="宋体" w:eastAsia="宋体"/>
                <w:sz w:val="16"/>
              </w:rPr>
              <w:t>偏差原因分析及改进措施</w:t>
            </w:r>
          </w:p>
        </w:tc>
      </w:tr>
      <w:tr w14:paraId="4699B7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D42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694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94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05E8">
            <w:pPr>
              <w:jc w:val="center"/>
            </w:pPr>
            <w:r>
              <w:rPr>
                <w:rFonts w:ascii="宋体" w:hAnsi="宋体" w:eastAsia="宋体"/>
                <w:sz w:val="16"/>
              </w:rPr>
              <w:t>新建单户3万元的牧民越冬放牧点生产（居住）用房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CA8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6B94">
            <w:pPr>
              <w:jc w:val="center"/>
            </w:pPr>
            <w:r>
              <w:rPr>
                <w:rFonts w:ascii="宋体" w:hAnsi="宋体" w:eastAsia="宋体"/>
                <w:sz w:val="16"/>
              </w:rPr>
              <w: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E0DE">
            <w:pPr>
              <w:jc w:val="center"/>
            </w:pPr>
            <w:r>
              <w:rPr>
                <w:rFonts w:ascii="宋体" w:hAnsi="宋体" w:eastAsia="宋体"/>
                <w:sz w:val="16"/>
              </w:rPr>
              <w: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2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3F0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E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8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1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C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B238">
            <w:pPr>
              <w:jc w:val="center"/>
            </w:pPr>
          </w:p>
        </w:tc>
      </w:tr>
      <w:tr w14:paraId="20FE4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02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8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75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7A13">
            <w:pPr>
              <w:jc w:val="center"/>
            </w:pPr>
            <w:r>
              <w:rPr>
                <w:rFonts w:ascii="宋体" w:hAnsi="宋体" w:eastAsia="宋体"/>
                <w:sz w:val="16"/>
              </w:rPr>
              <w:t>按协议完成执行率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4F2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3D8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7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7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BAF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0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1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6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2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8DA7">
            <w:pPr>
              <w:jc w:val="center"/>
            </w:pPr>
          </w:p>
        </w:tc>
      </w:tr>
      <w:tr w14:paraId="72977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51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82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B99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C843">
            <w:pPr>
              <w:jc w:val="center"/>
            </w:pPr>
            <w:r>
              <w:rPr>
                <w:rFonts w:ascii="宋体" w:hAnsi="宋体" w:eastAsia="宋体"/>
                <w:sz w:val="16"/>
              </w:rPr>
              <w:t>财政资金下达及时率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1C7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BF2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DAE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E98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9AF3">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1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C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A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9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121F">
            <w:pPr>
              <w:jc w:val="center"/>
            </w:pPr>
            <w:r>
              <w:rPr>
                <w:rFonts w:ascii="宋体" w:hAnsi="宋体" w:eastAsia="宋体"/>
                <w:sz w:val="16"/>
              </w:rPr>
              <w:t>结算未完成</w:t>
            </w:r>
          </w:p>
        </w:tc>
      </w:tr>
      <w:tr w14:paraId="4CAD2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11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0D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9B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C87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0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F25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9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F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B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A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1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5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5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BBB1">
            <w:pPr>
              <w:jc w:val="center"/>
            </w:pPr>
          </w:p>
        </w:tc>
      </w:tr>
      <w:tr w14:paraId="35EE0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5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C1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6D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8D73">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CE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1F76">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2D5B">
            <w:pPr>
              <w:jc w:val="center"/>
            </w:pPr>
            <w:r>
              <w:rPr>
                <w:rFonts w:ascii="宋体" w:hAnsi="宋体" w:eastAsia="宋体"/>
                <w:sz w:val="16"/>
              </w:rPr>
              <w:t>119.84万元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5F9B">
            <w:pPr>
              <w:jc w:val="center"/>
            </w:pPr>
            <w:r>
              <w:rPr>
                <w:rFonts w:ascii="宋体" w:hAnsi="宋体" w:eastAsia="宋体"/>
                <w:sz w:val="16"/>
              </w:rPr>
              <w:t>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756F">
            <w:pPr>
              <w:jc w:val="center"/>
            </w:pPr>
            <w:r>
              <w:rPr>
                <w:rFonts w:ascii="宋体" w:hAnsi="宋体" w:eastAsia="宋体"/>
                <w:sz w:val="16"/>
              </w:rPr>
              <w:t>15.96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8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2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B9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5D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638A">
            <w:pPr>
              <w:jc w:val="center"/>
            </w:pPr>
            <w:r>
              <w:rPr>
                <w:rFonts w:ascii="宋体" w:hAnsi="宋体" w:eastAsia="宋体"/>
                <w:sz w:val="16"/>
              </w:rPr>
              <w:t>结算未完成</w:t>
            </w:r>
          </w:p>
        </w:tc>
      </w:tr>
      <w:tr w14:paraId="1E6F2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B0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2F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46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957F">
            <w:pPr>
              <w:jc w:val="center"/>
            </w:pPr>
            <w:r>
              <w:rPr>
                <w:rFonts w:ascii="宋体" w:hAnsi="宋体" w:eastAsia="宋体"/>
                <w:sz w:val="16"/>
              </w:rPr>
              <w:t>建设项目对牧民居住环</w:t>
            </w:r>
            <w:r>
              <w:rPr>
                <w:rFonts w:hint="eastAsia" w:ascii="宋体" w:hAnsi="宋体"/>
                <w:sz w:val="16"/>
                <w:lang w:eastAsia="zh-CN"/>
              </w:rPr>
              <w:t>境和</w:t>
            </w:r>
            <w:r>
              <w:rPr>
                <w:rFonts w:ascii="宋体" w:hAnsi="宋体" w:eastAsia="宋体"/>
                <w:sz w:val="16"/>
              </w:rPr>
              <w:t>社会影响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2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5751">
            <w:pPr>
              <w:jc w:val="center"/>
            </w:pPr>
            <w:r>
              <w:rPr>
                <w:rFonts w:ascii="宋体" w:hAnsi="宋体" w:eastAsia="宋体"/>
                <w:sz w:val="16"/>
              </w:rPr>
              <w:t>改善群众居住环境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C72E">
            <w:pPr>
              <w:jc w:val="center"/>
            </w:pPr>
            <w:r>
              <w:rPr>
                <w:rFonts w:ascii="宋体" w:hAnsi="宋体" w:eastAsia="宋体"/>
                <w:sz w:val="16"/>
              </w:rPr>
              <w:t>改善群众居住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D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B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C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8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89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8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D3BC">
            <w:pPr>
              <w:jc w:val="center"/>
            </w:pPr>
          </w:p>
        </w:tc>
      </w:tr>
      <w:tr w14:paraId="1E927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8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6B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E3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31B5">
            <w:pPr>
              <w:jc w:val="center"/>
            </w:pPr>
            <w:r>
              <w:rPr>
                <w:rFonts w:ascii="宋体" w:hAnsi="宋体" w:eastAsia="宋体"/>
                <w:sz w:val="16"/>
              </w:rPr>
              <w:t>牧区群众满意度指标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2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7E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3A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8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0A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A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10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54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4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6A68">
            <w:pPr>
              <w:jc w:val="center"/>
            </w:pPr>
          </w:p>
        </w:tc>
      </w:tr>
      <w:tr w14:paraId="5D7052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E7A4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B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C21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0E8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59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87D1">
            <w:pPr>
              <w:jc w:val="center"/>
            </w:pPr>
            <w:r>
              <w:rPr>
                <w:rFonts w:ascii="宋体" w:hAnsi="宋体" w:eastAsia="宋体"/>
                <w:sz w:val="16"/>
              </w:rPr>
              <w:t>88.13分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2E5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730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935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E86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820333"/>
        </w:tc>
      </w:tr>
    </w:tbl>
    <w:p w14:paraId="26AD24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1AA0ABD5">
        <w:tblPrEx>
          <w:tblCellMar>
            <w:top w:w="0" w:type="dxa"/>
            <w:left w:w="108" w:type="dxa"/>
            <w:bottom w:w="0" w:type="dxa"/>
            <w:right w:w="108" w:type="dxa"/>
          </w:tblCellMar>
        </w:tblPrEx>
        <w:tc>
          <w:tcPr>
            <w:tcW w:w="8848" w:type="dxa"/>
            <w:gridSpan w:val="14"/>
            <w:vAlign w:val="center"/>
          </w:tcPr>
          <w:p w14:paraId="568A8D4E">
            <w:pPr>
              <w:jc w:val="center"/>
            </w:pPr>
            <w:r>
              <w:rPr>
                <w:rFonts w:ascii="宋体" w:hAnsi="宋体" w:eastAsia="宋体"/>
                <w:sz w:val="24"/>
              </w:rPr>
              <w:t>项目支出绩效自评表</w:t>
            </w:r>
          </w:p>
        </w:tc>
      </w:tr>
      <w:tr w14:paraId="7EDFF946">
        <w:tblPrEx>
          <w:tblCellMar>
            <w:top w:w="0" w:type="dxa"/>
            <w:left w:w="108" w:type="dxa"/>
            <w:bottom w:w="0" w:type="dxa"/>
            <w:right w:w="108" w:type="dxa"/>
          </w:tblCellMar>
        </w:tblPrEx>
        <w:tc>
          <w:tcPr>
            <w:tcW w:w="8848" w:type="dxa"/>
            <w:gridSpan w:val="14"/>
            <w:vAlign w:val="center"/>
          </w:tcPr>
          <w:p w14:paraId="6A932793">
            <w:pPr>
              <w:jc w:val="center"/>
            </w:pPr>
            <w:r>
              <w:rPr>
                <w:rFonts w:ascii="宋体" w:hAnsi="宋体" w:eastAsia="宋体"/>
                <w:sz w:val="24"/>
              </w:rPr>
              <w:t>(2024年度)</w:t>
            </w:r>
          </w:p>
        </w:tc>
      </w:tr>
      <w:tr w14:paraId="4263B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57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B9216F">
            <w:pPr>
              <w:jc w:val="center"/>
            </w:pPr>
            <w:r>
              <w:rPr>
                <w:rFonts w:ascii="宋体" w:hAnsi="宋体" w:eastAsia="宋体"/>
                <w:sz w:val="16"/>
              </w:rPr>
              <w:t>伊犁州特克斯县呼吉尔特蒙古乡排水管网建设项目</w:t>
            </w:r>
          </w:p>
        </w:tc>
      </w:tr>
      <w:tr w14:paraId="52DB0F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2E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262DA">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3EF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E8150">
            <w:pPr>
              <w:jc w:val="center"/>
            </w:pPr>
            <w:r>
              <w:rPr>
                <w:rFonts w:ascii="宋体" w:hAnsi="宋体" w:eastAsia="宋体"/>
                <w:sz w:val="16"/>
              </w:rPr>
              <w:t>特克斯县呼吉尔特蒙古民族乡人民政府</w:t>
            </w:r>
          </w:p>
        </w:tc>
      </w:tr>
      <w:tr w14:paraId="4C5DA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406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D4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15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118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1C0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12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CA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553B">
            <w:pPr>
              <w:jc w:val="center"/>
            </w:pPr>
            <w:r>
              <w:rPr>
                <w:rFonts w:ascii="宋体" w:hAnsi="宋体" w:eastAsia="宋体"/>
                <w:sz w:val="16"/>
              </w:rPr>
              <w:t>得分</w:t>
            </w:r>
          </w:p>
        </w:tc>
      </w:tr>
      <w:tr w14:paraId="6F028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11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77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73AC3">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EDED">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90EEB">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CF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17F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11E5">
            <w:pPr>
              <w:jc w:val="center"/>
            </w:pPr>
            <w:r>
              <w:rPr>
                <w:rFonts w:ascii="宋体" w:hAnsi="宋体" w:eastAsia="宋体"/>
                <w:sz w:val="16"/>
              </w:rPr>
              <w:t>10.00</w:t>
            </w:r>
          </w:p>
        </w:tc>
      </w:tr>
      <w:tr w14:paraId="577ED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41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E60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8DB5">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B705">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587B">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299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037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D1E5">
            <w:pPr>
              <w:jc w:val="center"/>
            </w:pPr>
            <w:r>
              <w:rPr>
                <w:rFonts w:ascii="宋体" w:hAnsi="宋体" w:eastAsia="宋体"/>
                <w:sz w:val="16"/>
              </w:rPr>
              <w:t>—</w:t>
            </w:r>
          </w:p>
        </w:tc>
      </w:tr>
      <w:tr w14:paraId="52D00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690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B8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F4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7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EA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05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84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75BC">
            <w:pPr>
              <w:jc w:val="center"/>
            </w:pPr>
            <w:r>
              <w:rPr>
                <w:rFonts w:ascii="宋体" w:hAnsi="宋体" w:eastAsia="宋体"/>
                <w:sz w:val="16"/>
              </w:rPr>
              <w:t>—</w:t>
            </w:r>
          </w:p>
        </w:tc>
      </w:tr>
      <w:tr w14:paraId="03B59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D03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240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22011">
            <w:pPr>
              <w:jc w:val="center"/>
            </w:pPr>
            <w:r>
              <w:rPr>
                <w:rFonts w:ascii="宋体" w:hAnsi="宋体" w:eastAsia="宋体"/>
                <w:sz w:val="16"/>
              </w:rPr>
              <w:t>实际完成情况</w:t>
            </w:r>
          </w:p>
        </w:tc>
      </w:tr>
      <w:tr w14:paraId="68987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176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8EB87">
            <w:pPr>
              <w:jc w:val="both"/>
            </w:pPr>
            <w:r>
              <w:rPr>
                <w:rFonts w:ascii="宋体" w:hAnsi="宋体" w:eastAsia="宋体"/>
                <w:sz w:val="16"/>
              </w:rPr>
              <w:t>新建污水 DN300 污水管网 3.2 公里</w:t>
            </w:r>
            <w:r>
              <w:rPr>
                <w:rFonts w:hint="eastAsia" w:ascii="宋体" w:hAnsi="宋体"/>
                <w:sz w:val="16"/>
                <w:lang w:eastAsia="zh-CN"/>
              </w:rPr>
              <w:t>，以</w:t>
            </w:r>
            <w:r>
              <w:rPr>
                <w:rFonts w:ascii="宋体" w:hAnsi="宋体" w:eastAsia="宋体"/>
                <w:sz w:val="16"/>
              </w:rPr>
              <w:t>及相应配套排水检查井等。本</w:t>
            </w:r>
            <w:r>
              <w:rPr>
                <w:rFonts w:hint="eastAsia" w:ascii="宋体" w:hAnsi="宋体"/>
                <w:sz w:val="16"/>
                <w:lang w:eastAsia="zh-CN"/>
              </w:rPr>
              <w:t>项目</w:t>
            </w:r>
            <w:r>
              <w:rPr>
                <w:rFonts w:ascii="宋体" w:hAnsi="宋体" w:eastAsia="宋体"/>
                <w:sz w:val="16"/>
              </w:rPr>
              <w:t>的实施对排水管网工程进行完善，有效解决了污水排放问题，改善了生活环境，提高居民的生活质量，进而增强人民群众的向心力和凝聚力。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70A39">
            <w:pPr>
              <w:jc w:val="both"/>
            </w:pPr>
            <w:r>
              <w:rPr>
                <w:rFonts w:ascii="宋体" w:hAnsi="宋体" w:eastAsia="宋体"/>
                <w:sz w:val="16"/>
              </w:rPr>
              <w:t>新建污水 DN300 污水管网 3.2 公里</w:t>
            </w:r>
            <w:r>
              <w:rPr>
                <w:rFonts w:hint="eastAsia" w:ascii="宋体" w:hAnsi="宋体"/>
                <w:sz w:val="16"/>
                <w:lang w:eastAsia="zh-CN"/>
              </w:rPr>
              <w:t>，以</w:t>
            </w:r>
            <w:r>
              <w:rPr>
                <w:rFonts w:ascii="宋体" w:hAnsi="宋体" w:eastAsia="宋体"/>
                <w:sz w:val="16"/>
              </w:rPr>
              <w:t>及相应配套排水检查井等。</w:t>
            </w:r>
          </w:p>
        </w:tc>
      </w:tr>
      <w:tr w14:paraId="6F92A0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E87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BD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6A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A8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23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03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FF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14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61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B9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12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2A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09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7574">
            <w:pPr>
              <w:jc w:val="center"/>
            </w:pPr>
            <w:r>
              <w:rPr>
                <w:rFonts w:ascii="宋体" w:hAnsi="宋体" w:eastAsia="宋体"/>
                <w:sz w:val="16"/>
              </w:rPr>
              <w:t>偏差原因分析及改进措施</w:t>
            </w:r>
          </w:p>
        </w:tc>
      </w:tr>
      <w:tr w14:paraId="64BEC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D33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CBC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C6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3101">
            <w:pPr>
              <w:jc w:val="center"/>
            </w:pPr>
            <w:r>
              <w:rPr>
                <w:rFonts w:ascii="宋体" w:hAnsi="宋体" w:eastAsia="宋体"/>
                <w:sz w:val="16"/>
              </w:rPr>
              <w:t>新建污水DN300污水管网长度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0B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859D">
            <w:pPr>
              <w:jc w:val="center"/>
            </w:pPr>
            <w:r>
              <w:rPr>
                <w:rFonts w:ascii="宋体" w:hAnsi="宋体" w:eastAsia="宋体"/>
                <w:sz w:val="16"/>
              </w:rPr>
              <w:t>&gt;=1.64公里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0380">
            <w:pPr>
              <w:jc w:val="center"/>
            </w:pPr>
            <w:r>
              <w:rPr>
                <w:rFonts w:ascii="宋体" w:hAnsi="宋体" w:eastAsia="宋体"/>
                <w:sz w:val="16"/>
              </w:rPr>
              <w:t>15公里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5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4CE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6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C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B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A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D68F">
            <w:pPr>
              <w:jc w:val="center"/>
            </w:pPr>
          </w:p>
        </w:tc>
      </w:tr>
      <w:tr w14:paraId="38199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C6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8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A0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EF14">
            <w:pPr>
              <w:jc w:val="center"/>
            </w:pPr>
            <w:r>
              <w:rPr>
                <w:rFonts w:ascii="宋体" w:hAnsi="宋体" w:eastAsia="宋体"/>
                <w:sz w:val="16"/>
              </w:rPr>
              <w:t>污水排水管网工程建设验收合格率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187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0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3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6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A1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7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3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F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52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450D">
            <w:pPr>
              <w:jc w:val="center"/>
            </w:pPr>
          </w:p>
        </w:tc>
      </w:tr>
      <w:tr w14:paraId="1EBE2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D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2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F9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F847">
            <w:pPr>
              <w:jc w:val="center"/>
            </w:pPr>
            <w:r>
              <w:rPr>
                <w:rFonts w:ascii="宋体" w:hAnsi="宋体" w:eastAsia="宋体"/>
                <w:sz w:val="16"/>
              </w:rPr>
              <w:t>项目按计划完工率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4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0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E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B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F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A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B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4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3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3A44">
            <w:pPr>
              <w:jc w:val="center"/>
            </w:pPr>
          </w:p>
        </w:tc>
      </w:tr>
      <w:tr w14:paraId="7E2BD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D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417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94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BF3B">
            <w:pPr>
              <w:jc w:val="center"/>
            </w:pPr>
            <w:r>
              <w:rPr>
                <w:rFonts w:ascii="宋体" w:hAnsi="宋体" w:eastAsia="宋体"/>
                <w:sz w:val="16"/>
              </w:rPr>
              <w:t>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22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370C">
            <w:pPr>
              <w:jc w:val="center"/>
            </w:pPr>
            <w:r>
              <w:rPr>
                <w:rFonts w:ascii="宋体" w:hAnsi="宋体" w:eastAsia="宋体"/>
                <w:sz w:val="16"/>
              </w:rPr>
              <w:t>&lt;=63.14万元/公里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2AC9">
            <w:pPr>
              <w:jc w:val="center"/>
            </w:pPr>
            <w:r>
              <w:rPr>
                <w:rFonts w:ascii="宋体" w:hAnsi="宋体" w:eastAsia="宋体"/>
                <w:sz w:val="16"/>
              </w:rPr>
              <w:t>63.14万元/公里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B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CF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7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F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0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F9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3599">
            <w:pPr>
              <w:jc w:val="center"/>
            </w:pPr>
          </w:p>
        </w:tc>
      </w:tr>
      <w:tr w14:paraId="6B64C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D0C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482E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97A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704E">
            <w:pPr>
              <w:jc w:val="center"/>
            </w:pPr>
            <w:r>
              <w:rPr>
                <w:rFonts w:ascii="宋体" w:hAnsi="宋体" w:eastAsia="宋体"/>
                <w:sz w:val="16"/>
              </w:rPr>
              <w:t>有效解决了污水排放问题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B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116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E16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E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0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C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8C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0E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8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1E21">
            <w:pPr>
              <w:jc w:val="center"/>
            </w:pPr>
          </w:p>
        </w:tc>
      </w:tr>
      <w:tr w14:paraId="79664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F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5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F1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432A">
            <w:pPr>
              <w:jc w:val="center"/>
            </w:pPr>
            <w:r>
              <w:rPr>
                <w:rFonts w:ascii="宋体" w:hAnsi="宋体" w:eastAsia="宋体"/>
                <w:sz w:val="16"/>
              </w:rPr>
              <w:t>污水处理率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2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B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9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7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58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7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2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E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4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80F5">
            <w:pPr>
              <w:jc w:val="center"/>
            </w:pPr>
          </w:p>
        </w:tc>
      </w:tr>
      <w:tr w14:paraId="672DD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A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BA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67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25F7">
            <w:pPr>
              <w:jc w:val="center"/>
            </w:pPr>
            <w:r>
              <w:rPr>
                <w:rFonts w:ascii="宋体" w:hAnsi="宋体" w:eastAsia="宋体"/>
                <w:sz w:val="16"/>
              </w:rPr>
              <w:t>辖区村庄群众满意率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72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AB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E6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D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C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0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95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CA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C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03D3">
            <w:pPr>
              <w:jc w:val="center"/>
            </w:pPr>
          </w:p>
        </w:tc>
      </w:tr>
      <w:tr w14:paraId="065572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C55D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0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A79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223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E9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94E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D2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8B0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1FD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448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B6A54"/>
        </w:tc>
      </w:tr>
    </w:tbl>
    <w:p w14:paraId="5C26AD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AC67839">
        <w:tblPrEx>
          <w:tblCellMar>
            <w:top w:w="0" w:type="dxa"/>
            <w:left w:w="108" w:type="dxa"/>
            <w:bottom w:w="0" w:type="dxa"/>
            <w:right w:w="108" w:type="dxa"/>
          </w:tblCellMar>
        </w:tblPrEx>
        <w:tc>
          <w:tcPr>
            <w:tcW w:w="8848" w:type="dxa"/>
            <w:gridSpan w:val="14"/>
            <w:vAlign w:val="center"/>
          </w:tcPr>
          <w:p w14:paraId="0946F5A2">
            <w:pPr>
              <w:jc w:val="center"/>
            </w:pPr>
            <w:r>
              <w:rPr>
                <w:rFonts w:ascii="宋体" w:hAnsi="宋体" w:eastAsia="宋体"/>
                <w:sz w:val="24"/>
              </w:rPr>
              <w:t>项目支出绩效自评表</w:t>
            </w:r>
          </w:p>
        </w:tc>
      </w:tr>
      <w:tr w14:paraId="62C48369">
        <w:tblPrEx>
          <w:tblCellMar>
            <w:top w:w="0" w:type="dxa"/>
            <w:left w:w="108" w:type="dxa"/>
            <w:bottom w:w="0" w:type="dxa"/>
            <w:right w:w="108" w:type="dxa"/>
          </w:tblCellMar>
        </w:tblPrEx>
        <w:tc>
          <w:tcPr>
            <w:tcW w:w="8848" w:type="dxa"/>
            <w:gridSpan w:val="14"/>
            <w:vAlign w:val="center"/>
          </w:tcPr>
          <w:p w14:paraId="5969D8D4">
            <w:pPr>
              <w:jc w:val="center"/>
            </w:pPr>
            <w:r>
              <w:rPr>
                <w:rFonts w:ascii="宋体" w:hAnsi="宋体" w:eastAsia="宋体"/>
                <w:sz w:val="24"/>
              </w:rPr>
              <w:t>(2024年度)</w:t>
            </w:r>
          </w:p>
        </w:tc>
      </w:tr>
      <w:tr w14:paraId="326439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76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F75EA2">
            <w:pPr>
              <w:jc w:val="center"/>
            </w:pPr>
            <w:r>
              <w:rPr>
                <w:rFonts w:ascii="宋体" w:hAnsi="宋体" w:eastAsia="宋体"/>
                <w:sz w:val="16"/>
              </w:rPr>
              <w:t>千汇矿业林草征占用安置补偿</w:t>
            </w:r>
          </w:p>
        </w:tc>
      </w:tr>
      <w:tr w14:paraId="4A3EE8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9D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34EED">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34F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03303A">
            <w:pPr>
              <w:jc w:val="center"/>
            </w:pPr>
            <w:r>
              <w:rPr>
                <w:rFonts w:ascii="宋体" w:hAnsi="宋体" w:eastAsia="宋体"/>
                <w:sz w:val="16"/>
              </w:rPr>
              <w:t>特克斯县呼吉尔特蒙古民族乡人民政府</w:t>
            </w:r>
          </w:p>
        </w:tc>
      </w:tr>
      <w:tr w14:paraId="06F506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90D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70C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32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8F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978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A6F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CB6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EBD9">
            <w:pPr>
              <w:jc w:val="center"/>
            </w:pPr>
            <w:r>
              <w:rPr>
                <w:rFonts w:ascii="宋体" w:hAnsi="宋体" w:eastAsia="宋体"/>
                <w:sz w:val="16"/>
              </w:rPr>
              <w:t>得分</w:t>
            </w:r>
          </w:p>
        </w:tc>
      </w:tr>
      <w:tr w14:paraId="2FF8F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2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EF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520B">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34DC">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088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50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F3B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572B">
            <w:pPr>
              <w:jc w:val="center"/>
            </w:pPr>
            <w:r>
              <w:rPr>
                <w:rFonts w:ascii="宋体" w:hAnsi="宋体" w:eastAsia="宋体"/>
                <w:sz w:val="16"/>
              </w:rPr>
              <w:t>10.00</w:t>
            </w:r>
          </w:p>
        </w:tc>
      </w:tr>
      <w:tr w14:paraId="42603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4E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BF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87BAA">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CA7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6D597">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490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A25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0889">
            <w:pPr>
              <w:jc w:val="center"/>
            </w:pPr>
            <w:r>
              <w:rPr>
                <w:rFonts w:ascii="宋体" w:hAnsi="宋体" w:eastAsia="宋体"/>
                <w:sz w:val="16"/>
              </w:rPr>
              <w:t>—</w:t>
            </w:r>
          </w:p>
        </w:tc>
      </w:tr>
      <w:tr w14:paraId="34D5E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5B2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AD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F0D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1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31A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C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00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F69">
            <w:pPr>
              <w:jc w:val="center"/>
            </w:pPr>
            <w:r>
              <w:rPr>
                <w:rFonts w:ascii="宋体" w:hAnsi="宋体" w:eastAsia="宋体"/>
                <w:sz w:val="16"/>
              </w:rPr>
              <w:t>—</w:t>
            </w:r>
          </w:p>
        </w:tc>
      </w:tr>
      <w:tr w14:paraId="34BDE1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FC7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CBC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32B2AF">
            <w:pPr>
              <w:jc w:val="center"/>
            </w:pPr>
            <w:r>
              <w:rPr>
                <w:rFonts w:ascii="宋体" w:hAnsi="宋体" w:eastAsia="宋体"/>
                <w:sz w:val="16"/>
              </w:rPr>
              <w:t>实际完成情况</w:t>
            </w:r>
          </w:p>
        </w:tc>
      </w:tr>
      <w:tr w14:paraId="6B7B4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159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645AC">
            <w:pPr>
              <w:jc w:val="both"/>
            </w:pPr>
            <w:r>
              <w:rPr>
                <w:rFonts w:ascii="宋体" w:hAnsi="宋体" w:eastAsia="宋体"/>
                <w:sz w:val="16"/>
              </w:rPr>
              <w:t>特克斯县呼吉尔特蒙古族乡人民政府根据特克斯千汇矿业有限责任公司提交的关于退换补偿2021</w:t>
            </w:r>
            <w:r>
              <w:rPr>
                <w:rFonts w:hint="eastAsia" w:ascii="宋体" w:hAnsi="宋体"/>
                <w:sz w:val="16"/>
                <w:lang w:eastAsia="zh-CN"/>
              </w:rPr>
              <w:t>—</w:t>
            </w:r>
            <w:r>
              <w:rPr>
                <w:rFonts w:ascii="宋体" w:hAnsi="宋体" w:eastAsia="宋体"/>
                <w:sz w:val="16"/>
              </w:rPr>
              <w:t>2023年该公司长期占用呼吉尔特蒙古族乡团结新村集体草场和13户牧民草场先行支付补偿费的申请，提交至县人民政府、县财政局解决该补偿费用。2022年3月22日新林草许准〔2022〕102号征收使用草原审核同意书批复:同意特克斯千汇矿业有限责任公司博故图金矿采选1000吨/天建设工程长期使用伊犁州特克斯县呼吉尔特蒙古民族乡团结新村牧民承包使用的天然草原39.9781公顷，按照有关规定办理用地审批手续。采取有效措施，加强施工管理，严格履行生态保护责任，严禁超范围使用草原，严格遵守草原防火有关规定，严防草原火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67E46">
            <w:pPr>
              <w:jc w:val="both"/>
            </w:pPr>
            <w:r>
              <w:rPr>
                <w:rFonts w:ascii="宋体" w:hAnsi="宋体" w:eastAsia="宋体"/>
                <w:sz w:val="16"/>
              </w:rPr>
              <w:t>特克斯县呼吉尔特蒙古族乡人民政府根据特克斯千汇矿业有限责任公司提交的关于</w:t>
            </w:r>
            <w:r>
              <w:rPr>
                <w:rFonts w:hint="eastAsia" w:ascii="宋体" w:hAnsi="宋体"/>
                <w:sz w:val="16"/>
                <w:lang w:eastAsia="zh-CN"/>
              </w:rPr>
              <w:t>退还</w:t>
            </w:r>
            <w:r>
              <w:rPr>
                <w:rFonts w:ascii="宋体" w:hAnsi="宋体" w:eastAsia="宋体"/>
                <w:sz w:val="16"/>
              </w:rPr>
              <w:t>补偿2021</w:t>
            </w:r>
            <w:r>
              <w:rPr>
                <w:rFonts w:hint="eastAsia" w:ascii="宋体" w:hAnsi="宋体"/>
                <w:sz w:val="16"/>
                <w:lang w:eastAsia="zh-CN"/>
              </w:rPr>
              <w:t>—</w:t>
            </w:r>
            <w:r>
              <w:rPr>
                <w:rFonts w:ascii="宋体" w:hAnsi="宋体" w:eastAsia="宋体"/>
                <w:sz w:val="16"/>
              </w:rPr>
              <w:t>2023年该公司长期占用呼吉尔特蒙古族乡团结新村集体草场和13户牧民草场先行支付补偿费的申请，同意2024年财政拨款返还千汇矿业有限公司支付160万元（壹佰陆拾万元整），其中村集体草场补偿100万元整，13户牧民草场补偿60万元整。目前已完成支付160万元整。</w:t>
            </w:r>
          </w:p>
        </w:tc>
      </w:tr>
      <w:tr w14:paraId="35025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AA6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5A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7F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88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2A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E14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6F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D2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04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8A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87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66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CF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FA6E">
            <w:pPr>
              <w:jc w:val="center"/>
            </w:pPr>
            <w:r>
              <w:rPr>
                <w:rFonts w:ascii="宋体" w:hAnsi="宋体" w:eastAsia="宋体"/>
                <w:sz w:val="16"/>
              </w:rPr>
              <w:t>偏差原因分析及改进措施</w:t>
            </w:r>
          </w:p>
        </w:tc>
      </w:tr>
      <w:tr w14:paraId="395D11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5A9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019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F0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105A">
            <w:pPr>
              <w:jc w:val="center"/>
            </w:pPr>
            <w:r>
              <w:rPr>
                <w:rFonts w:ascii="宋体" w:hAnsi="宋体" w:eastAsia="宋体"/>
                <w:sz w:val="16"/>
              </w:rPr>
              <w:t>征用草场土地涉及村集体数量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C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0A1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E05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9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6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D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56F6">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F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8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7301">
            <w:pPr>
              <w:jc w:val="center"/>
            </w:pPr>
          </w:p>
        </w:tc>
      </w:tr>
      <w:tr w14:paraId="150C7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7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22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DF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3BEA">
            <w:pPr>
              <w:jc w:val="center"/>
            </w:pPr>
            <w:r>
              <w:rPr>
                <w:rFonts w:ascii="宋体" w:hAnsi="宋体" w:eastAsia="宋体"/>
                <w:sz w:val="16"/>
              </w:rPr>
              <w:t>按协议补偿执行率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2EC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9D4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F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6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671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3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474D">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8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C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0DA4">
            <w:pPr>
              <w:jc w:val="center"/>
            </w:pPr>
          </w:p>
        </w:tc>
      </w:tr>
      <w:tr w14:paraId="5D829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1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11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77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5C5E">
            <w:pPr>
              <w:jc w:val="center"/>
            </w:pPr>
            <w:r>
              <w:rPr>
                <w:rFonts w:ascii="宋体" w:hAnsi="宋体" w:eastAsia="宋体"/>
                <w:sz w:val="16"/>
              </w:rPr>
              <w:t>财政资金下达及时率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07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648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A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E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FF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4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0819">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7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6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5B3D">
            <w:pPr>
              <w:jc w:val="center"/>
            </w:pPr>
          </w:p>
        </w:tc>
      </w:tr>
      <w:tr w14:paraId="21C5A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F0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D49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B64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E4DF">
            <w:pPr>
              <w:jc w:val="center"/>
            </w:pPr>
            <w:r>
              <w:rPr>
                <w:rFonts w:ascii="宋体" w:hAnsi="宋体" w:eastAsia="宋体"/>
                <w:sz w:val="16"/>
              </w:rPr>
              <w:t>村集体草场补偿资金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B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56FD">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12FA">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4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3E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D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47F4">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A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7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B73A">
            <w:pPr>
              <w:jc w:val="center"/>
            </w:pPr>
          </w:p>
        </w:tc>
      </w:tr>
      <w:tr w14:paraId="138D4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D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E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9A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8B06">
            <w:pPr>
              <w:jc w:val="center"/>
            </w:pPr>
            <w:r>
              <w:rPr>
                <w:rFonts w:ascii="宋体" w:hAnsi="宋体" w:eastAsia="宋体"/>
                <w:sz w:val="16"/>
              </w:rPr>
              <w:t>牧民草场补偿资金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2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EBD6">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AF1F">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7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5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9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3C4F">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3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1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9595">
            <w:pPr>
              <w:jc w:val="center"/>
            </w:pPr>
          </w:p>
        </w:tc>
      </w:tr>
      <w:tr w14:paraId="7C5B8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B1D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9FA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F0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77AF">
            <w:pPr>
              <w:jc w:val="center"/>
            </w:pPr>
            <w:r>
              <w:rPr>
                <w:rFonts w:ascii="宋体" w:hAnsi="宋体" w:eastAsia="宋体"/>
                <w:sz w:val="16"/>
              </w:rPr>
              <w:t>改善群众生产生活水平，提升幸福感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83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A96A">
            <w:pPr>
              <w:jc w:val="center"/>
            </w:pPr>
            <w:r>
              <w:rPr>
                <w:rFonts w:ascii="宋体" w:hAnsi="宋体" w:eastAsia="宋体"/>
                <w:sz w:val="16"/>
              </w:rPr>
              <w:t>改善群众环境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7B60">
            <w:pPr>
              <w:jc w:val="center"/>
            </w:pPr>
            <w:r>
              <w:rPr>
                <w:rFonts w:ascii="宋体" w:hAnsi="宋体" w:eastAsia="宋体"/>
                <w:sz w:val="16"/>
              </w:rPr>
              <w:t>改善群众环境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D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66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D7C8">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6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1F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F907">
            <w:pPr>
              <w:jc w:val="center"/>
            </w:pPr>
          </w:p>
        </w:tc>
      </w:tr>
      <w:tr w14:paraId="44C7D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24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37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766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37DB">
            <w:pPr>
              <w:jc w:val="center"/>
            </w:pPr>
            <w:r>
              <w:rPr>
                <w:rFonts w:ascii="宋体" w:hAnsi="宋体" w:eastAsia="宋体"/>
                <w:sz w:val="16"/>
              </w:rPr>
              <w:t>土地资源合理配置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85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E2B5">
            <w:pPr>
              <w:jc w:val="center"/>
            </w:pPr>
            <w:r>
              <w:rPr>
                <w:rFonts w:ascii="宋体" w:hAnsi="宋体" w:eastAsia="宋体"/>
                <w:sz w:val="16"/>
              </w:rPr>
              <w:t>合理利用土地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9390">
            <w:pPr>
              <w:jc w:val="center"/>
            </w:pPr>
            <w:r>
              <w:rPr>
                <w:rFonts w:ascii="宋体" w:hAnsi="宋体" w:eastAsia="宋体"/>
                <w:sz w:val="16"/>
              </w:rPr>
              <w:t>合理利用土地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D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3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7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7B6A">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D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7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0BFC">
            <w:pPr>
              <w:jc w:val="center"/>
            </w:pPr>
          </w:p>
        </w:tc>
      </w:tr>
      <w:tr w14:paraId="3B8BD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FF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61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E4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78A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7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E5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86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5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7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B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8721">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76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F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D0F0">
            <w:pPr>
              <w:jc w:val="center"/>
            </w:pPr>
          </w:p>
        </w:tc>
      </w:tr>
      <w:tr w14:paraId="498DCD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8533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F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8944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C9B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44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29A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A69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E0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063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272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79797"/>
        </w:tc>
      </w:tr>
    </w:tbl>
    <w:p w14:paraId="589B9F66">
      <w:r>
        <w:br w:type="page"/>
      </w:r>
    </w:p>
    <w:p w14:paraId="00F5B289">
      <w:pPr>
        <w:spacing w:line="640" w:lineRule="exact"/>
        <w:ind w:firstLine="640"/>
        <w:jc w:val="both"/>
        <w:outlineLvl w:val="2"/>
      </w:pPr>
      <w:r>
        <w:rPr>
          <w:rFonts w:ascii="黑体" w:hAnsi="黑体" w:eastAsia="黑体"/>
          <w:sz w:val="32"/>
        </w:rPr>
        <w:t>十二、其他需说明的事项</w:t>
      </w:r>
    </w:p>
    <w:p w14:paraId="4A89F9C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B433945">
      <w:r>
        <w:br w:type="page"/>
      </w:r>
    </w:p>
    <w:p w14:paraId="7F7C312E">
      <w:pPr>
        <w:spacing w:line="240" w:lineRule="auto"/>
        <w:jc w:val="center"/>
        <w:outlineLvl w:val="1"/>
      </w:pPr>
      <w:r>
        <w:rPr>
          <w:rFonts w:ascii="黑体" w:hAnsi="黑体" w:eastAsia="黑体"/>
          <w:sz w:val="32"/>
        </w:rPr>
        <w:t>第三部分 专业名词解释</w:t>
      </w:r>
    </w:p>
    <w:p w14:paraId="54C477F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6615B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7A0D95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E23A7A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AD3F1A8">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202690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1388815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49927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B898B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EDC3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B2FBC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1A57C7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2E9DF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8A8320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D743E49">
      <w:r>
        <w:br w:type="page"/>
      </w:r>
    </w:p>
    <w:p w14:paraId="5B790ABA">
      <w:pPr>
        <w:spacing w:line="240" w:lineRule="auto"/>
        <w:jc w:val="center"/>
        <w:outlineLvl w:val="1"/>
      </w:pPr>
      <w:r>
        <w:rPr>
          <w:rFonts w:ascii="黑体" w:hAnsi="黑体" w:eastAsia="黑体"/>
          <w:sz w:val="32"/>
        </w:rPr>
        <w:t>第四部分 部门决算报表（见附表）</w:t>
      </w:r>
    </w:p>
    <w:p w14:paraId="79416192">
      <w:pPr>
        <w:spacing w:line="240" w:lineRule="auto"/>
        <w:ind w:firstLine="640"/>
        <w:jc w:val="both"/>
      </w:pPr>
      <w:r>
        <w:rPr>
          <w:rFonts w:ascii="仿宋_GB2312" w:hAnsi="仿宋_GB2312" w:eastAsia="仿宋_GB2312"/>
          <w:b w:val="0"/>
          <w:sz w:val="32"/>
        </w:rPr>
        <w:t>一、《收入支出决算总表》</w:t>
      </w:r>
    </w:p>
    <w:p w14:paraId="7B996B4A">
      <w:pPr>
        <w:spacing w:line="240" w:lineRule="auto"/>
        <w:ind w:firstLine="640"/>
        <w:jc w:val="both"/>
      </w:pPr>
      <w:r>
        <w:rPr>
          <w:rFonts w:ascii="仿宋_GB2312" w:hAnsi="仿宋_GB2312" w:eastAsia="仿宋_GB2312"/>
          <w:b w:val="0"/>
          <w:sz w:val="32"/>
        </w:rPr>
        <w:t>二、《收入决算表》</w:t>
      </w:r>
    </w:p>
    <w:p w14:paraId="5ABF0E60">
      <w:pPr>
        <w:spacing w:line="240" w:lineRule="auto"/>
        <w:ind w:firstLine="640"/>
        <w:jc w:val="both"/>
      </w:pPr>
      <w:r>
        <w:rPr>
          <w:rFonts w:ascii="仿宋_GB2312" w:hAnsi="仿宋_GB2312" w:eastAsia="仿宋_GB2312"/>
          <w:b w:val="0"/>
          <w:sz w:val="32"/>
        </w:rPr>
        <w:t>三、《支出决算表》</w:t>
      </w:r>
    </w:p>
    <w:p w14:paraId="5B606704">
      <w:pPr>
        <w:spacing w:line="240" w:lineRule="auto"/>
        <w:ind w:firstLine="640"/>
        <w:jc w:val="both"/>
      </w:pPr>
      <w:r>
        <w:rPr>
          <w:rFonts w:ascii="仿宋_GB2312" w:hAnsi="仿宋_GB2312" w:eastAsia="仿宋_GB2312"/>
          <w:b w:val="0"/>
          <w:sz w:val="32"/>
        </w:rPr>
        <w:t>四、《财政拨款收入支出决算总表》</w:t>
      </w:r>
    </w:p>
    <w:p w14:paraId="1F93563C">
      <w:pPr>
        <w:spacing w:line="240" w:lineRule="auto"/>
        <w:ind w:firstLine="640"/>
        <w:jc w:val="both"/>
      </w:pPr>
      <w:r>
        <w:rPr>
          <w:rFonts w:ascii="仿宋_GB2312" w:hAnsi="仿宋_GB2312" w:eastAsia="仿宋_GB2312"/>
          <w:b w:val="0"/>
          <w:sz w:val="32"/>
        </w:rPr>
        <w:t>五、《一般公共预算财政拨款支出决算表》</w:t>
      </w:r>
    </w:p>
    <w:p w14:paraId="242F450A">
      <w:pPr>
        <w:spacing w:line="240" w:lineRule="auto"/>
        <w:ind w:firstLine="640"/>
        <w:jc w:val="both"/>
      </w:pPr>
      <w:r>
        <w:rPr>
          <w:rFonts w:ascii="仿宋_GB2312" w:hAnsi="仿宋_GB2312" w:eastAsia="仿宋_GB2312"/>
          <w:b w:val="0"/>
          <w:sz w:val="32"/>
        </w:rPr>
        <w:t>六、《一般公共预算财政拨款基本支出决算表》</w:t>
      </w:r>
    </w:p>
    <w:p w14:paraId="73074C0A">
      <w:pPr>
        <w:spacing w:line="240" w:lineRule="auto"/>
        <w:ind w:firstLine="640"/>
        <w:jc w:val="both"/>
      </w:pPr>
      <w:r>
        <w:rPr>
          <w:rFonts w:ascii="仿宋_GB2312" w:hAnsi="仿宋_GB2312" w:eastAsia="仿宋_GB2312"/>
          <w:b w:val="0"/>
          <w:sz w:val="32"/>
        </w:rPr>
        <w:t>七、《政府性基金预算财政拨款收入支出决算表》</w:t>
      </w:r>
    </w:p>
    <w:p w14:paraId="17F99B66">
      <w:pPr>
        <w:spacing w:line="240" w:lineRule="auto"/>
        <w:ind w:firstLine="640"/>
        <w:jc w:val="both"/>
      </w:pPr>
      <w:r>
        <w:rPr>
          <w:rFonts w:ascii="仿宋_GB2312" w:hAnsi="仿宋_GB2312" w:eastAsia="仿宋_GB2312"/>
          <w:b w:val="0"/>
          <w:sz w:val="32"/>
        </w:rPr>
        <w:t>八、《国有资本经营预算财政拨款收入支出决算表》</w:t>
      </w:r>
    </w:p>
    <w:p w14:paraId="00131099">
      <w:pPr>
        <w:spacing w:line="240" w:lineRule="auto"/>
        <w:ind w:firstLine="640"/>
        <w:jc w:val="both"/>
      </w:pPr>
      <w:r>
        <w:rPr>
          <w:rFonts w:ascii="仿宋_GB2312" w:hAnsi="仿宋_GB2312" w:eastAsia="仿宋_GB2312"/>
          <w:b w:val="0"/>
          <w:sz w:val="32"/>
        </w:rPr>
        <w:t>九、《财政拨款“三公”经费支出决算表》</w:t>
      </w:r>
    </w:p>
    <w:p w14:paraId="69BDD901">
      <w:pPr>
        <w:spacing w:line="240" w:lineRule="auto"/>
        <w:ind w:firstLine="640"/>
        <w:jc w:val="both"/>
      </w:pPr>
    </w:p>
    <w:p w14:paraId="0C78A9FA">
      <w:pPr>
        <w:spacing w:line="240" w:lineRule="auto"/>
        <w:ind w:firstLine="640"/>
        <w:jc w:val="both"/>
      </w:pPr>
    </w:p>
    <w:p w14:paraId="17F9548B">
      <w:pPr>
        <w:spacing w:line="240" w:lineRule="auto"/>
        <w:ind w:firstLine="640"/>
        <w:jc w:val="both"/>
      </w:pPr>
    </w:p>
    <w:p w14:paraId="66A4C932">
      <w:pPr>
        <w:spacing w:line="240" w:lineRule="auto"/>
        <w:ind w:firstLine="640"/>
        <w:jc w:val="both"/>
      </w:pPr>
    </w:p>
    <w:p w14:paraId="2D45A66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1D4BE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5643D2"/>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6A4FC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2f0ad4-30b0-4c3a-91bf-f8463e083deb}">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6266</Words>
  <Characters>7113</Characters>
  <Lines>0</Lines>
  <Paragraphs>0</Paragraphs>
  <TotalTime>13</TotalTime>
  <ScaleCrop>false</ScaleCrop>
  <LinksUpToDate>false</LinksUpToDate>
  <CharactersWithSpaces>7121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