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C0DC58"/>
    <w:p w14:paraId="30FF91CE">
      <w:pPr>
        <w:spacing w:line="540" w:lineRule="exact"/>
        <w:jc w:val="center"/>
        <w:rPr>
          <w:rFonts w:hint="default" w:ascii="Times New Roman" w:hAnsi="Times New Roman" w:eastAsia="华文中宋" w:cs="Times New Roman"/>
          <w:b/>
          <w:kern w:val="0"/>
          <w:sz w:val="52"/>
          <w:szCs w:val="52"/>
        </w:rPr>
      </w:pPr>
    </w:p>
    <w:p w14:paraId="1C69B671">
      <w:pPr>
        <w:spacing w:line="540" w:lineRule="exact"/>
        <w:rPr>
          <w:rFonts w:hint="default" w:ascii="Times New Roman" w:hAnsi="Times New Roman" w:eastAsia="华文中宋" w:cs="Times New Roman"/>
          <w:b/>
          <w:kern w:val="0"/>
          <w:sz w:val="52"/>
          <w:szCs w:val="52"/>
        </w:rPr>
      </w:pPr>
    </w:p>
    <w:p w14:paraId="0D01E2B3">
      <w:pPr>
        <w:spacing w:line="540" w:lineRule="exact"/>
        <w:jc w:val="center"/>
        <w:rPr>
          <w:rFonts w:hint="default" w:ascii="Times New Roman" w:hAnsi="Times New Roman" w:eastAsia="华文中宋" w:cs="Times New Roman"/>
          <w:b/>
          <w:kern w:val="0"/>
          <w:sz w:val="52"/>
          <w:szCs w:val="52"/>
        </w:rPr>
      </w:pPr>
    </w:p>
    <w:p w14:paraId="587EF991">
      <w:pPr>
        <w:spacing w:line="540" w:lineRule="exact"/>
        <w:jc w:val="center"/>
        <w:rPr>
          <w:rFonts w:hint="default" w:ascii="Times New Roman" w:hAnsi="Times New Roman" w:eastAsia="华文中宋" w:cs="Times New Roman"/>
          <w:b/>
          <w:kern w:val="0"/>
          <w:sz w:val="52"/>
          <w:szCs w:val="52"/>
        </w:rPr>
      </w:pPr>
    </w:p>
    <w:p w14:paraId="0F5C7B9C">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rPr>
        <w:t>县委综合楼、易居综合楼运转保障经费（年初本级）项目支出绩效评价报告</w:t>
      </w:r>
    </w:p>
    <w:p w14:paraId="3E0375FB">
      <w:pPr>
        <w:spacing w:line="540" w:lineRule="exact"/>
        <w:jc w:val="center"/>
        <w:rPr>
          <w:rFonts w:hint="default" w:ascii="Times New Roman" w:hAnsi="Times New Roman" w:eastAsia="华文中宋" w:cs="Times New Roman"/>
          <w:b/>
          <w:kern w:val="0"/>
          <w:sz w:val="52"/>
          <w:szCs w:val="52"/>
        </w:rPr>
      </w:pPr>
    </w:p>
    <w:p w14:paraId="35353D05">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14:paraId="36A7545F">
      <w:pPr>
        <w:spacing w:line="540" w:lineRule="exact"/>
        <w:jc w:val="center"/>
        <w:rPr>
          <w:rFonts w:hint="default" w:ascii="Times New Roman" w:hAnsi="Times New Roman" w:eastAsia="仿宋_GB2312" w:cs="Times New Roman"/>
          <w:kern w:val="0"/>
          <w:sz w:val="30"/>
          <w:szCs w:val="30"/>
        </w:rPr>
      </w:pPr>
    </w:p>
    <w:p w14:paraId="1C6173D7">
      <w:pPr>
        <w:spacing w:line="540" w:lineRule="exact"/>
        <w:jc w:val="both"/>
        <w:rPr>
          <w:rFonts w:hint="default" w:ascii="Times New Roman" w:hAnsi="Times New Roman" w:eastAsia="仿宋_GB2312" w:cs="Times New Roman"/>
          <w:kern w:val="0"/>
          <w:sz w:val="30"/>
          <w:szCs w:val="30"/>
        </w:rPr>
      </w:pPr>
    </w:p>
    <w:p w14:paraId="0F38AB01">
      <w:pPr>
        <w:pStyle w:val="9"/>
        <w:rPr>
          <w:rFonts w:hint="default" w:ascii="Times New Roman" w:hAnsi="Times New Roman" w:cs="Times New Roman"/>
        </w:rPr>
      </w:pPr>
    </w:p>
    <w:p w14:paraId="7D8D8976">
      <w:pPr>
        <w:spacing w:line="540" w:lineRule="exact"/>
        <w:jc w:val="center"/>
        <w:rPr>
          <w:rFonts w:hint="default" w:ascii="Times New Roman" w:hAnsi="Times New Roman" w:eastAsia="仿宋_GB2312" w:cs="Times New Roman"/>
          <w:kern w:val="0"/>
          <w:sz w:val="30"/>
          <w:szCs w:val="30"/>
        </w:rPr>
      </w:pPr>
    </w:p>
    <w:p w14:paraId="32B7FA53">
      <w:pPr>
        <w:spacing w:line="540" w:lineRule="exact"/>
        <w:rPr>
          <w:rFonts w:hint="default" w:ascii="Times New Roman" w:hAnsi="Times New Roman" w:eastAsia="仿宋_GB2312" w:cs="Times New Roman"/>
          <w:kern w:val="0"/>
          <w:sz w:val="30"/>
          <w:szCs w:val="30"/>
        </w:rPr>
      </w:pPr>
    </w:p>
    <w:p w14:paraId="5AE9C6B3">
      <w:pPr>
        <w:spacing w:line="700" w:lineRule="exact"/>
        <w:ind w:left="2877" w:leftChars="608" w:hanging="1600" w:hanging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项目名称：县委综合楼、易居综合楼运转保障经费（年初本级）</w:t>
      </w:r>
    </w:p>
    <w:p w14:paraId="7D3B47DF">
      <w:pPr>
        <w:spacing w:line="700" w:lineRule="exact"/>
        <w:ind w:firstLine="1280" w:firstLineChars="4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实施单位（公章）：特克斯县机关事务中心</w:t>
      </w:r>
    </w:p>
    <w:p w14:paraId="3D2EAB25">
      <w:pPr>
        <w:spacing w:line="700" w:lineRule="exact"/>
        <w:ind w:firstLine="1280" w:firstLineChars="4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主管部门（公章）：特克斯县机关事务中心</w:t>
      </w:r>
    </w:p>
    <w:p w14:paraId="12177A26">
      <w:pPr>
        <w:spacing w:line="700" w:lineRule="exact"/>
        <w:ind w:firstLine="1280" w:firstLineChars="400"/>
        <w:jc w:val="left"/>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rPr>
        <w:t>项目负责人（签章）：</w:t>
      </w:r>
      <w:r>
        <w:rPr>
          <w:rFonts w:hint="eastAsia" w:ascii="仿宋_GB2312" w:hAnsi="仿宋_GB2312" w:eastAsia="仿宋_GB2312" w:cs="仿宋_GB2312"/>
          <w:kern w:val="0"/>
          <w:sz w:val="32"/>
          <w:szCs w:val="32"/>
          <w:lang w:val="en-US" w:eastAsia="zh-CN"/>
        </w:rPr>
        <w:t>冉小平</w:t>
      </w:r>
    </w:p>
    <w:p w14:paraId="7DA67519">
      <w:pPr>
        <w:spacing w:line="700" w:lineRule="exact"/>
        <w:ind w:firstLine="1280" w:firstLineChars="400"/>
        <w:jc w:val="left"/>
        <w:rPr>
          <w:rFonts w:hint="default" w:ascii="Times New Roman" w:hAnsi="Times New Roman" w:eastAsia="仿宋_GB2312" w:cs="Times New Roman"/>
          <w:kern w:val="0"/>
          <w:sz w:val="36"/>
          <w:szCs w:val="36"/>
        </w:rPr>
      </w:pPr>
      <w:r>
        <w:rPr>
          <w:rFonts w:hint="eastAsia" w:ascii="仿宋_GB2312" w:hAnsi="仿宋_GB2312" w:eastAsia="仿宋_GB2312" w:cs="仿宋_GB2312"/>
          <w:kern w:val="0"/>
          <w:sz w:val="32"/>
          <w:szCs w:val="32"/>
        </w:rPr>
        <w:t>填报时间：</w:t>
      </w:r>
      <w:r>
        <w:rPr>
          <w:rFonts w:hint="eastAsia" w:ascii="仿宋_GB2312" w:hAnsi="仿宋_GB2312" w:eastAsia="仿宋_GB2312" w:cs="仿宋_GB2312"/>
          <w:kern w:val="0"/>
          <w:sz w:val="32"/>
          <w:szCs w:val="32"/>
          <w:lang w:val="en-US" w:eastAsia="zh-CN"/>
        </w:rPr>
        <w:t>2025</w:t>
      </w:r>
      <w:r>
        <w:rPr>
          <w:rFonts w:hint="eastAsia" w:ascii="仿宋_GB2312" w:hAnsi="仿宋_GB2312" w:eastAsia="仿宋_GB2312" w:cs="仿宋_GB2312"/>
          <w:kern w:val="0"/>
          <w:sz w:val="32"/>
          <w:szCs w:val="32"/>
        </w:rPr>
        <w:t>年</w:t>
      </w:r>
      <w:r>
        <w:rPr>
          <w:rFonts w:hint="eastAsia" w:ascii="仿宋_GB2312" w:hAnsi="仿宋_GB2312" w:eastAsia="仿宋_GB2312" w:cs="仿宋_GB2312"/>
          <w:kern w:val="0"/>
          <w:sz w:val="32"/>
          <w:szCs w:val="32"/>
          <w:lang w:val="en-US" w:eastAsia="zh-CN"/>
        </w:rPr>
        <w:t>5</w:t>
      </w:r>
      <w:r>
        <w:rPr>
          <w:rFonts w:hint="eastAsia" w:ascii="仿宋_GB2312" w:hAnsi="仿宋_GB2312" w:eastAsia="仿宋_GB2312" w:cs="仿宋_GB2312"/>
          <w:kern w:val="0"/>
          <w:sz w:val="32"/>
          <w:szCs w:val="32"/>
        </w:rPr>
        <w:t>月</w:t>
      </w:r>
      <w:r>
        <w:rPr>
          <w:rFonts w:hint="eastAsia" w:ascii="仿宋_GB2312" w:hAnsi="仿宋_GB2312" w:eastAsia="仿宋_GB2312" w:cs="仿宋_GB2312"/>
          <w:kern w:val="0"/>
          <w:sz w:val="32"/>
          <w:szCs w:val="32"/>
          <w:lang w:val="en-US" w:eastAsia="zh-CN"/>
        </w:rPr>
        <w:t>9</w:t>
      </w:r>
      <w:r>
        <w:rPr>
          <w:rFonts w:hint="eastAsia" w:ascii="仿宋_GB2312" w:hAnsi="仿宋_GB2312" w:eastAsia="仿宋_GB2312" w:cs="仿宋_GB2312"/>
          <w:kern w:val="0"/>
          <w:sz w:val="32"/>
          <w:szCs w:val="32"/>
        </w:rPr>
        <w:t>日</w:t>
      </w:r>
    </w:p>
    <w:p w14:paraId="2219E587">
      <w:pPr>
        <w:spacing w:line="540" w:lineRule="exact"/>
        <w:jc w:val="center"/>
        <w:rPr>
          <w:rFonts w:hint="default" w:ascii="Times New Roman" w:hAnsi="Times New Roman" w:eastAsia="仿宋_GB2312" w:cs="Times New Roman"/>
          <w:kern w:val="0"/>
          <w:sz w:val="30"/>
          <w:szCs w:val="30"/>
        </w:rPr>
      </w:pPr>
    </w:p>
    <w:p w14:paraId="185A3E32">
      <w:pPr>
        <w:spacing w:line="560" w:lineRule="exact"/>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14:paraId="796F042A">
      <w:pPr>
        <w:spacing w:line="560" w:lineRule="exact"/>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25DB610B">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0A62EA83">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49DBEE2C">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深入贯彻落实习近平新时代中国特色社会主义思想和党的十九大和历届全会精神、中央第三次新疆工作座谈会精神以及自治区党委全委（扩大）会议、州党委工作会议和县委十二届历次全委扩大会议精神，编制特克斯县机关事务工作“十四五”规划，统筹谋划好特克斯县机关事务工作改革发展，是实现特克斯县机关事务治理体系和治理能力现代化的必然要求和重要举措，是聚焦总目标、服务新时代党的治疆方略的客观要求和实际行动。</w:t>
      </w:r>
    </w:p>
    <w:p w14:paraId="0D035CF7">
      <w:pPr>
        <w:pStyle w:val="9"/>
        <w:numPr>
          <w:ilvl w:val="0"/>
          <w:numId w:val="0"/>
        </w:numPr>
        <w:spacing w:before="0" w:after="0" w:line="560" w:lineRule="exact"/>
        <w:ind w:firstLine="640" w:firstLineChars="200"/>
        <w:jc w:val="both"/>
        <w:rPr>
          <w:rFonts w:hint="eastAsia" w:ascii="宋体" w:hAnsi="宋体" w:eastAsia="宋体" w:cs="宋体"/>
          <w:i w:val="0"/>
          <w:iCs w:val="0"/>
          <w:caps w:val="0"/>
          <w:color w:val="333333"/>
          <w:spacing w:val="0"/>
          <w:sz w:val="21"/>
          <w:szCs w:val="21"/>
          <w:shd w:val="clear" w:color="auto" w:fill="FFFFFF"/>
        </w:rPr>
      </w:pPr>
      <w:r>
        <w:rPr>
          <w:rFonts w:hint="eastAsia" w:ascii="仿宋_GB2312" w:hAnsi="仿宋_GB2312" w:eastAsia="仿宋_GB2312" w:cs="仿宋_GB2312"/>
          <w:b w:val="0"/>
          <w:bCs w:val="0"/>
          <w:color w:val="auto"/>
          <w:sz w:val="32"/>
          <w:szCs w:val="32"/>
          <w:lang w:val="en-US" w:eastAsia="zh-CN"/>
        </w:rPr>
        <w:t>特克斯县机关事务工作是县委、县政府工作的重要组成部分，是为保障特克斯县机关运行所需经费、资产、服务和能源资源等进行统筹配置、合理使用、有效监管的行政活动，在服务县委、县政府中心工作、保障机关高效规范运行、加强厉行节约反对浪费促进党风廉政建设等方面发挥着重要作用。</w:t>
      </w:r>
    </w:p>
    <w:p w14:paraId="452AB823">
      <w:pPr>
        <w:pStyle w:val="9"/>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14:paraId="02A429D0">
      <w:pPr>
        <w:spacing w:line="560" w:lineRule="exact"/>
        <w:ind w:firstLine="640" w:firstLineChars="200"/>
        <w:rPr>
          <w:rFonts w:hint="default" w:ascii="仿宋_GB2312" w:hAnsi="仿宋_GB2312" w:eastAsia="仿宋_GB2312" w:cs="仿宋_GB2312"/>
          <w:b w:val="0"/>
          <w:bCs w:val="0"/>
          <w:color w:val="auto"/>
          <w:kern w:val="28"/>
          <w:sz w:val="32"/>
          <w:szCs w:val="32"/>
          <w:lang w:val="en-US" w:eastAsia="zh-CN" w:bidi="ar-SA"/>
        </w:rPr>
      </w:pPr>
      <w:r>
        <w:rPr>
          <w:rFonts w:hint="default" w:ascii="仿宋_GB2312" w:hAnsi="仿宋_GB2312" w:eastAsia="仿宋_GB2312" w:cs="仿宋_GB2312"/>
          <w:b w:val="0"/>
          <w:bCs w:val="0"/>
          <w:color w:val="auto"/>
          <w:kern w:val="28"/>
          <w:sz w:val="32"/>
          <w:szCs w:val="32"/>
          <w:lang w:val="en-US" w:eastAsia="zh-CN" w:bidi="ar-SA"/>
        </w:rPr>
        <w:t>项目主要内容：</w:t>
      </w:r>
      <w:r>
        <w:rPr>
          <w:rFonts w:hint="eastAsia" w:ascii="仿宋_GB2312" w:hAnsi="仿宋_GB2312" w:eastAsia="仿宋_GB2312" w:cs="仿宋_GB2312"/>
          <w:b w:val="0"/>
          <w:bCs w:val="0"/>
          <w:color w:val="auto"/>
          <w:kern w:val="28"/>
          <w:sz w:val="32"/>
          <w:szCs w:val="32"/>
          <w:lang w:val="en-US" w:eastAsia="zh-CN" w:bidi="ar-SA"/>
        </w:rPr>
        <w:t>保障我单位6名公益性岗位工资、社保支出以保障综合楼内环境干净整洁、县委综合楼和宜居综合楼水电网正常运转、综合楼日常维修保养、四套班子领导公务用车的安全正常运行以便保障各单位各项工作正常开展、各项任务顺利完成。</w:t>
      </w:r>
    </w:p>
    <w:p w14:paraId="57BE1A86">
      <w:pPr>
        <w:keepNext w:val="0"/>
        <w:keepLines w:val="0"/>
        <w:pageBreakBefore w:val="0"/>
        <w:widowControl w:val="0"/>
        <w:kinsoku/>
        <w:wordWrap/>
        <w:overflowPunct/>
        <w:topLinePunct w:val="0"/>
        <w:autoSpaceDE/>
        <w:autoSpaceDN/>
        <w:bidi w:val="0"/>
        <w:adjustRightInd/>
        <w:snapToGrid/>
        <w:spacing w:line="560" w:lineRule="exact"/>
        <w:ind w:left="638" w:leftChars="304" w:firstLine="0" w:firstLineChars="0"/>
        <w:jc w:val="left"/>
        <w:textAlignment w:val="auto"/>
        <w:rPr>
          <w:rFonts w:hint="eastAsia" w:eastAsia="仿宋_GB2312" w:cs="Times New Roman"/>
          <w:sz w:val="32"/>
          <w:szCs w:val="32"/>
          <w:lang w:eastAsia="zh-CN"/>
        </w:rPr>
      </w:pPr>
      <w:r>
        <w:rPr>
          <w:rFonts w:hint="default" w:ascii="Times New Roman" w:hAnsi="Times New Roman" w:eastAsia="仿宋_GB2312" w:cs="Times New Roman"/>
          <w:sz w:val="32"/>
          <w:szCs w:val="32"/>
        </w:rPr>
        <w:t>项目实施情况</w:t>
      </w:r>
      <w:r>
        <w:rPr>
          <w:rFonts w:hint="eastAsia" w:eastAsia="仿宋_GB2312" w:cs="Times New Roman"/>
          <w:sz w:val="32"/>
          <w:szCs w:val="32"/>
          <w:lang w:eastAsia="zh-CN"/>
        </w:rPr>
        <w:t>：</w:t>
      </w:r>
    </w:p>
    <w:p w14:paraId="00A79A92">
      <w:pPr>
        <w:spacing w:line="560" w:lineRule="exact"/>
        <w:ind w:firstLine="640" w:firstLineChars="200"/>
        <w:rPr>
          <w:rFonts w:hint="default" w:ascii="仿宋_GB2312" w:hAnsi="仿宋_GB2312" w:eastAsia="仿宋_GB2312" w:cs="仿宋_GB2312"/>
          <w:b w:val="0"/>
          <w:bCs w:val="0"/>
          <w:color w:val="auto"/>
          <w:kern w:val="28"/>
          <w:sz w:val="32"/>
          <w:szCs w:val="32"/>
          <w:lang w:val="en-US" w:eastAsia="zh-CN" w:bidi="ar-SA"/>
        </w:rPr>
      </w:pPr>
      <w:r>
        <w:rPr>
          <w:rFonts w:hint="eastAsia" w:ascii="仿宋_GB2312" w:hAnsi="仿宋_GB2312" w:eastAsia="仿宋_GB2312" w:cs="仿宋_GB2312"/>
          <w:b w:val="0"/>
          <w:bCs w:val="0"/>
          <w:color w:val="auto"/>
          <w:kern w:val="28"/>
          <w:sz w:val="32"/>
          <w:szCs w:val="32"/>
          <w:lang w:val="en-US" w:eastAsia="zh-CN" w:bidi="ar-SA"/>
        </w:rPr>
        <w:t>6.64万元保障6名公益性岗位1-12月社保缴纳及工资，平均921.53元/人/月。97.05万元保障县委综合楼、易居综合楼的6栋楼的日常运转，保障各单位各项工作的正常开展，各项任务的顺利完成。</w:t>
      </w:r>
    </w:p>
    <w:p w14:paraId="2FF06195">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14:paraId="2353C5F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54DC69D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ascii="Times New Roman" w:hAnsi="Times New Roman" w:eastAsia="仿宋_GB2312" w:cs="Times New Roman"/>
          <w:sz w:val="32"/>
          <w:szCs w:val="32"/>
          <w:highlight w:val="none"/>
          <w:lang w:val="en-US" w:eastAsia="zh-CN"/>
        </w:rPr>
        <w:t>105</w:t>
      </w:r>
      <w:r>
        <w:rPr>
          <w:rFonts w:hint="default" w:ascii="Times New Roman" w:hAnsi="Times New Roman" w:eastAsia="仿宋_GB2312" w:cs="Times New Roman"/>
          <w:sz w:val="32"/>
          <w:szCs w:val="32"/>
          <w:highlight w:val="none"/>
          <w:lang w:val="en-US" w:eastAsia="zh-CN"/>
        </w:rPr>
        <w:t>万元，全年预算数</w:t>
      </w:r>
      <w:r>
        <w:rPr>
          <w:rFonts w:hint="eastAsia" w:ascii="Times New Roman" w:hAnsi="Times New Roman" w:eastAsia="仿宋_GB2312" w:cs="Times New Roman"/>
          <w:sz w:val="32"/>
          <w:szCs w:val="32"/>
          <w:highlight w:val="none"/>
          <w:lang w:val="en-US" w:eastAsia="zh-CN"/>
        </w:rPr>
        <w:t>105</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ascii="Times New Roman" w:hAnsi="Times New Roman" w:eastAsia="仿宋_GB2312" w:cs="Times New Roman"/>
          <w:sz w:val="32"/>
          <w:szCs w:val="32"/>
          <w:highlight w:val="none"/>
          <w:lang w:val="en-US" w:eastAsia="zh-CN"/>
        </w:rPr>
        <w:t>财政拨款</w:t>
      </w:r>
      <w:r>
        <w:rPr>
          <w:rFonts w:hint="default" w:ascii="Times New Roman" w:hAnsi="Times New Roman" w:eastAsia="仿宋_GB2312" w:cs="Times New Roman"/>
          <w:sz w:val="32"/>
          <w:szCs w:val="32"/>
          <w:highlight w:val="none"/>
          <w:lang w:val="en-US" w:eastAsia="zh-CN"/>
        </w:rPr>
        <w:t>。（2）资金使用情况</w:t>
      </w:r>
    </w:p>
    <w:p w14:paraId="3D131741">
      <w:pPr>
        <w:shd w:val="clear" w:color="auto" w:fill="auto"/>
        <w:spacing w:line="600" w:lineRule="exact"/>
        <w:ind w:firstLine="640" w:firstLineChars="200"/>
        <w:outlineLvl w:val="0"/>
        <w:rPr>
          <w:rFonts w:hint="default" w:ascii="仿宋_GB2312" w:hAnsi="仿宋_GB2312" w:eastAsia="仿宋_GB2312" w:cs="仿宋_GB2312"/>
          <w:b w:val="0"/>
          <w:bCs w:val="0"/>
          <w:color w:val="auto"/>
          <w:kern w:val="28"/>
          <w:sz w:val="32"/>
          <w:szCs w:val="32"/>
          <w:lang w:val="en-US" w:eastAsia="zh-CN" w:bidi="ar-SA"/>
        </w:rPr>
      </w:pPr>
      <w:r>
        <w:rPr>
          <w:rFonts w:hint="default" w:ascii="Times New Roman" w:hAnsi="Times New Roman" w:eastAsia="仿宋_GB2312" w:cs="Times New Roman"/>
          <w:sz w:val="32"/>
          <w:szCs w:val="32"/>
          <w:highlight w:val="none"/>
          <w:lang w:val="en-US" w:eastAsia="zh-CN"/>
        </w:rPr>
        <w:t>该项目年初预算数</w:t>
      </w:r>
      <w:r>
        <w:rPr>
          <w:rFonts w:hint="eastAsia" w:ascii="Times New Roman" w:hAnsi="Times New Roman" w:eastAsia="仿宋_GB2312" w:cs="Times New Roman"/>
          <w:sz w:val="32"/>
          <w:szCs w:val="32"/>
          <w:highlight w:val="none"/>
          <w:lang w:val="en-US" w:eastAsia="zh-CN"/>
        </w:rPr>
        <w:t>105</w:t>
      </w:r>
      <w:r>
        <w:rPr>
          <w:rFonts w:hint="default" w:ascii="Times New Roman" w:hAnsi="Times New Roman" w:eastAsia="仿宋_GB2312" w:cs="Times New Roman"/>
          <w:sz w:val="32"/>
          <w:szCs w:val="32"/>
          <w:highlight w:val="none"/>
          <w:lang w:val="en-US" w:eastAsia="zh-CN"/>
        </w:rPr>
        <w:t>万元，全年预算数</w:t>
      </w:r>
      <w:r>
        <w:rPr>
          <w:rFonts w:hint="eastAsia" w:ascii="Times New Roman" w:hAnsi="Times New Roman" w:eastAsia="仿宋_GB2312" w:cs="Times New Roman"/>
          <w:sz w:val="32"/>
          <w:szCs w:val="32"/>
          <w:highlight w:val="none"/>
          <w:lang w:val="en-US" w:eastAsia="zh-CN"/>
        </w:rPr>
        <w:t>105</w:t>
      </w:r>
      <w:r>
        <w:rPr>
          <w:rFonts w:hint="default" w:ascii="Times New Roman" w:hAnsi="Times New Roman" w:eastAsia="仿宋_GB2312" w:cs="Times New Roman"/>
          <w:sz w:val="32"/>
          <w:szCs w:val="32"/>
          <w:highlight w:val="none"/>
          <w:lang w:val="en-US" w:eastAsia="zh-CN"/>
        </w:rPr>
        <w:t>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ascii="Times New Roman" w:hAnsi="Times New Roman" w:eastAsia="仿宋_GB2312" w:cs="Times New Roman"/>
          <w:sz w:val="32"/>
          <w:szCs w:val="32"/>
          <w:highlight w:val="none"/>
          <w:lang w:val="en-US" w:eastAsia="zh-CN"/>
        </w:rPr>
        <w:t>103.69</w:t>
      </w:r>
      <w:r>
        <w:rPr>
          <w:rFonts w:hint="default" w:ascii="Times New Roman" w:hAnsi="Times New Roman" w:eastAsia="仿宋_GB2312" w:cs="Times New Roman"/>
          <w:sz w:val="32"/>
          <w:szCs w:val="32"/>
          <w:highlight w:val="none"/>
          <w:lang w:val="en-US" w:eastAsia="zh-CN"/>
        </w:rPr>
        <w:t>万元，预算执行率为</w:t>
      </w:r>
      <w:r>
        <w:rPr>
          <w:rFonts w:hint="eastAsia" w:ascii="Times New Roman" w:hAnsi="Times New Roman" w:eastAsia="仿宋_GB2312" w:cs="Times New Roman"/>
          <w:sz w:val="32"/>
          <w:szCs w:val="32"/>
          <w:highlight w:val="none"/>
          <w:lang w:val="en-US" w:eastAsia="zh-CN"/>
        </w:rPr>
        <w:t>98.75</w:t>
      </w:r>
      <w:r>
        <w:rPr>
          <w:rFonts w:hint="default" w:ascii="Times New Roman" w:hAnsi="Times New Roman" w:eastAsia="仿宋_GB2312" w:cs="Times New Roman"/>
          <w:sz w:val="32"/>
          <w:szCs w:val="32"/>
          <w:highlight w:val="none"/>
          <w:lang w:val="en-US" w:eastAsia="zh-CN"/>
        </w:rPr>
        <w:t>%，主要用于：</w:t>
      </w:r>
      <w:r>
        <w:rPr>
          <w:rFonts w:hint="eastAsia" w:ascii="Times New Roman" w:hAnsi="Times New Roman" w:eastAsia="仿宋_GB2312" w:cs="Times New Roman"/>
          <w:sz w:val="32"/>
          <w:szCs w:val="32"/>
          <w:highlight w:val="none"/>
          <w:lang w:val="en-US" w:eastAsia="zh-CN"/>
        </w:rPr>
        <w:t>保障我单位6名公益性岗位工资、社保支出以保障综合</w:t>
      </w:r>
      <w:r>
        <w:rPr>
          <w:rFonts w:hint="eastAsia" w:ascii="仿宋_GB2312" w:hAnsi="仿宋_GB2312" w:eastAsia="仿宋_GB2312" w:cs="仿宋_GB2312"/>
          <w:b w:val="0"/>
          <w:bCs w:val="0"/>
          <w:color w:val="auto"/>
          <w:kern w:val="28"/>
          <w:sz w:val="32"/>
          <w:szCs w:val="32"/>
          <w:lang w:val="en-US" w:eastAsia="zh-CN" w:bidi="ar-SA"/>
        </w:rPr>
        <w:t>楼内环境干净整洁、县委综合楼和宜居综合楼水电网正常运转、综合楼日常维修保养、四套班子领导公务用车的安全正常运行，保障各单位各项工作正常开展、各项任务顺利完成。</w:t>
      </w:r>
    </w:p>
    <w:p w14:paraId="362B4590">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266FBE93">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14:paraId="51BB9FAC">
      <w:pPr>
        <w:shd w:val="clear" w:color="auto" w:fill="auto"/>
        <w:spacing w:line="600" w:lineRule="exact"/>
        <w:ind w:firstLine="640" w:firstLineChars="200"/>
        <w:outlineLvl w:val="0"/>
        <w:rPr>
          <w:rFonts w:hint="eastAsia" w:ascii="仿宋_GB2312" w:hAnsi="仿宋_GB2312" w:eastAsia="仿宋_GB2312" w:cs="仿宋_GB2312"/>
          <w:b w:val="0"/>
          <w:bCs w:val="0"/>
          <w:color w:val="auto"/>
          <w:kern w:val="28"/>
          <w:sz w:val="32"/>
          <w:szCs w:val="32"/>
          <w:lang w:val="en-US" w:eastAsia="zh-CN" w:bidi="ar-SA"/>
        </w:rPr>
      </w:pPr>
      <w:r>
        <w:rPr>
          <w:rFonts w:hint="eastAsia" w:ascii="仿宋_GB2312" w:hAnsi="仿宋_GB2312" w:eastAsia="仿宋_GB2312" w:cs="仿宋_GB2312"/>
          <w:b w:val="0"/>
          <w:bCs w:val="0"/>
          <w:color w:val="auto"/>
          <w:kern w:val="28"/>
          <w:sz w:val="32"/>
          <w:szCs w:val="32"/>
          <w:lang w:val="en-US" w:eastAsia="zh-CN" w:bidi="ar-SA"/>
        </w:rPr>
        <w:t>保障我单位6名公益性岗位工资、社保支出以保障综合楼内环境干净整洁、县委综合楼和宜居综合楼水电网正常运转、</w:t>
      </w:r>
      <w:bookmarkStart w:id="1" w:name="_GoBack"/>
      <w:bookmarkEnd w:id="1"/>
      <w:r>
        <w:rPr>
          <w:rFonts w:hint="eastAsia" w:ascii="仿宋_GB2312" w:hAnsi="仿宋_GB2312" w:eastAsia="仿宋_GB2312" w:cs="仿宋_GB2312"/>
          <w:b w:val="0"/>
          <w:bCs w:val="0"/>
          <w:color w:val="auto"/>
          <w:kern w:val="28"/>
          <w:sz w:val="32"/>
          <w:szCs w:val="32"/>
          <w:lang w:val="en-US" w:eastAsia="zh-CN" w:bidi="ar-SA"/>
        </w:rPr>
        <w:t>综合楼日常维修保养、四套班子领导公务用车的安全正常运行以便保障各单位各项工作正常开展、各项任务顺利完成。</w:t>
      </w:r>
    </w:p>
    <w:p w14:paraId="16BA4952">
      <w:pPr>
        <w:spacing w:line="560" w:lineRule="exact"/>
        <w:ind w:firstLine="640" w:firstLineChars="200"/>
        <w:rPr>
          <w:rFonts w:hint="default" w:ascii="Times New Roman" w:hAnsi="Times New Roman" w:eastAsia="仿宋_GB2312" w:cs="Times New Roman"/>
          <w:color w:val="FF0000"/>
          <w:sz w:val="30"/>
          <w:szCs w:val="30"/>
          <w:highlight w:val="none"/>
          <w:lang w:val="en-US" w:eastAsia="zh-CN"/>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阶段性目标</w:t>
      </w:r>
      <w:r>
        <w:rPr>
          <w:rFonts w:hint="eastAsia" w:eastAsia="仿宋_GB2312" w:cs="Times New Roman"/>
          <w:sz w:val="32"/>
          <w:szCs w:val="32"/>
          <w:lang w:val="en-US" w:eastAsia="zh-CN"/>
        </w:rPr>
        <w:t>1-12月每月需按时完成公益性岗位人员社保缴纳、工资发放，需按计划完成县委综合楼、易居综合楼的水电暖的保障工作，根据需求完成综合楼日常维修保养、保障公务用车的正常运转。</w:t>
      </w:r>
    </w:p>
    <w:p w14:paraId="00149773">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6E4D0F70">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597C806E">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14:paraId="2375CA69">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2BB9E796">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在评价指标体系的构建上，充分考虑了项目的性质、目标以及预期成果，选取了具有代表性和可衡量性的关键指标，涵盖了经济效益、社会效益、</w:t>
      </w:r>
      <w:r>
        <w:rPr>
          <w:rFonts w:hint="eastAsia" w:ascii="Times New Roman" w:hAnsi="Times New Roman"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lang w:val="en-US" w:eastAsia="zh-CN"/>
        </w:rPr>
        <w:t>效益（根据项目实际情况选填）等多个维度，力求全方位反映项目的绩效状况。同时，对于每个指标的评价标准和数据来源均进行了明确说明，确保评价结果的客观性和可追溯性。</w:t>
      </w:r>
    </w:p>
    <w:p w14:paraId="6BF78F71">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0EAADE02">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5ED93043">
      <w:pPr>
        <w:spacing w:line="560" w:lineRule="exact"/>
        <w:ind w:firstLine="640" w:firstLineChars="200"/>
        <w:rPr>
          <w:rFonts w:hint="default" w:ascii="Times New Roman" w:hAnsi="Times New Roman" w:eastAsia="仿宋_GB2312" w:cs="Times New Roman"/>
          <w:sz w:val="32"/>
          <w:szCs w:val="32"/>
          <w:highlight w:val="green"/>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7FE9CFA8">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绩效评价的目的</w:t>
      </w:r>
    </w:p>
    <w:p w14:paraId="40280A4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1DD96D3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通过对项目预算执行情况及各项绩效目标达成程度的系统性分析，全面、客观地评估项目在预定周期内的实施效果，社会效益、可持续性等多维度指标，为项目后续的改进与优化提供科学依据。</w:t>
      </w:r>
    </w:p>
    <w:p w14:paraId="3C50034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2FC4D7A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0AF0D4B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4FC395A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50B6229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532FD2F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59A984A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14:paraId="0E824D0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50DCE4F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6D8FB900">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14:paraId="73E973B6">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val="en-US" w:eastAsia="zh-CN"/>
        </w:rPr>
      </w:pPr>
      <w:r>
        <w:rPr>
          <w:rFonts w:hint="default" w:ascii="Times New Roman" w:hAnsi="Times New Roman" w:eastAsia="仿宋_GB2312" w:cs="Times New Roman"/>
          <w:b w:val="0"/>
          <w:bCs w:val="0"/>
          <w:color w:val="auto"/>
          <w:highlight w:val="none"/>
          <w:lang w:val="en-US" w:eastAsia="zh-CN"/>
        </w:rPr>
        <w:t>本项目预算绩效评价报告的评价对象是</w:t>
      </w:r>
      <w:r>
        <w:rPr>
          <w:rFonts w:hint="eastAsia" w:ascii="Times New Roman" w:hAnsi="Times New Roman" w:eastAsia="仿宋_GB2312" w:cs="Times New Roman"/>
          <w:b w:val="0"/>
          <w:bCs w:val="0"/>
          <w:color w:val="auto"/>
          <w:highlight w:val="none"/>
          <w:lang w:val="en-US" w:eastAsia="zh-CN"/>
        </w:rPr>
        <w:t>县委综合楼、易居综合楼运转保障经费（年初本级）</w:t>
      </w:r>
      <w:r>
        <w:rPr>
          <w:rFonts w:hint="default" w:ascii="Times New Roman" w:hAnsi="Times New Roman" w:eastAsia="仿宋_GB2312" w:cs="Times New Roman"/>
          <w:b w:val="0"/>
          <w:bCs w:val="0"/>
          <w:color w:val="auto"/>
          <w:highlight w:val="none"/>
          <w:lang w:val="en-US" w:eastAsia="zh-CN"/>
        </w:rPr>
        <w:t>及其预算执行情况。该项目由</w:t>
      </w:r>
      <w:r>
        <w:rPr>
          <w:rFonts w:hint="eastAsia" w:ascii="Times New Roman" w:hAnsi="Times New Roman" w:eastAsia="仿宋_GB2312" w:cs="Times New Roman"/>
          <w:b w:val="0"/>
          <w:bCs w:val="0"/>
          <w:color w:val="auto"/>
          <w:highlight w:val="none"/>
          <w:lang w:val="en-US" w:eastAsia="zh-CN"/>
        </w:rPr>
        <w:t>特克斯县机关事务中心</w:t>
      </w:r>
      <w:r>
        <w:rPr>
          <w:rFonts w:hint="default" w:ascii="Times New Roman" w:hAnsi="Times New Roman" w:eastAsia="仿宋_GB2312" w:cs="Times New Roman"/>
          <w:b w:val="0"/>
          <w:bCs w:val="0"/>
          <w:color w:val="auto"/>
          <w:highlight w:val="none"/>
          <w:lang w:val="en-US" w:eastAsia="zh-CN"/>
        </w:rPr>
        <w:t>负责实施，旨在</w:t>
      </w:r>
      <w:r>
        <w:rPr>
          <w:rFonts w:hint="eastAsia" w:ascii="Times New Roman" w:hAnsi="Times New Roman" w:eastAsia="仿宋_GB2312" w:cs="Times New Roman"/>
          <w:b w:val="0"/>
          <w:bCs w:val="0"/>
          <w:color w:val="auto"/>
          <w:highlight w:val="none"/>
          <w:lang w:val="en-US" w:eastAsia="zh-CN"/>
        </w:rPr>
        <w:t>全面保障县委综合楼、易居综合楼正常运转</w:t>
      </w:r>
      <w:r>
        <w:rPr>
          <w:rFonts w:hint="default" w:ascii="Times New Roman" w:hAnsi="Times New Roman" w:eastAsia="仿宋_GB2312" w:cs="Times New Roman"/>
          <w:b w:val="0"/>
          <w:bCs w:val="0"/>
          <w:color w:val="auto"/>
          <w:highlight w:val="none"/>
          <w:lang w:val="en-US" w:eastAsia="zh-CN"/>
        </w:rPr>
        <w:t>。项目预算涵盖从</w:t>
      </w:r>
      <w:r>
        <w:rPr>
          <w:rFonts w:hint="eastAsia" w:ascii="Times New Roman" w:hAnsi="Times New Roman" w:eastAsia="仿宋_GB2312" w:cs="Times New Roman"/>
          <w:b w:val="0"/>
          <w:bCs w:val="0"/>
          <w:color w:val="auto"/>
          <w:highlight w:val="none"/>
          <w:lang w:val="en-US" w:eastAsia="zh-CN"/>
        </w:rPr>
        <w:t>2024年1月1日</w:t>
      </w:r>
      <w:r>
        <w:rPr>
          <w:rFonts w:hint="default" w:ascii="Times New Roman" w:hAnsi="Times New Roman" w:eastAsia="仿宋_GB2312" w:cs="Times New Roman"/>
          <w:b w:val="0"/>
          <w:bCs w:val="0"/>
          <w:color w:val="auto"/>
          <w:highlight w:val="none"/>
          <w:lang w:val="en-US" w:eastAsia="zh-CN"/>
        </w:rPr>
        <w:t>至</w:t>
      </w:r>
      <w:r>
        <w:rPr>
          <w:rFonts w:hint="eastAsia" w:ascii="Times New Roman" w:hAnsi="Times New Roman" w:eastAsia="仿宋_GB2312" w:cs="Times New Roman"/>
          <w:b w:val="0"/>
          <w:bCs w:val="0"/>
          <w:color w:val="auto"/>
          <w:highlight w:val="none"/>
          <w:lang w:val="en-US" w:eastAsia="zh-CN"/>
        </w:rPr>
        <w:t>2024年12月31日</w:t>
      </w:r>
      <w:r>
        <w:rPr>
          <w:rFonts w:hint="default" w:ascii="Times New Roman" w:hAnsi="Times New Roman" w:eastAsia="仿宋_GB2312" w:cs="Times New Roman"/>
          <w:b w:val="0"/>
          <w:bCs w:val="0"/>
          <w:color w:val="auto"/>
          <w:highlight w:val="none"/>
          <w:lang w:val="en-US" w:eastAsia="zh-CN"/>
        </w:rPr>
        <w:t>的全部资金投入与支出，涉及资金总额为</w:t>
      </w:r>
      <w:r>
        <w:rPr>
          <w:rFonts w:hint="eastAsia" w:ascii="Times New Roman" w:hAnsi="Times New Roman" w:eastAsia="仿宋_GB2312" w:cs="Times New Roman"/>
          <w:b w:val="0"/>
          <w:bCs w:val="0"/>
          <w:color w:val="auto"/>
          <w:highlight w:val="none"/>
          <w:lang w:val="en-US" w:eastAsia="zh-CN"/>
        </w:rPr>
        <w:t>103.69</w:t>
      </w:r>
      <w:r>
        <w:rPr>
          <w:rFonts w:hint="default" w:ascii="Times New Roman" w:hAnsi="Times New Roman" w:eastAsia="仿宋_GB2312" w:cs="Times New Roman"/>
          <w:b w:val="0"/>
          <w:bCs w:val="0"/>
          <w:color w:val="auto"/>
          <w:highlight w:val="none"/>
          <w:lang w:val="en-US" w:eastAsia="zh-CN"/>
        </w:rPr>
        <w:t>万元。</w:t>
      </w:r>
    </w:p>
    <w:p w14:paraId="6759F4A0">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rPr>
        <w:t>绩效评价的范围</w:t>
      </w:r>
    </w:p>
    <w:p w14:paraId="67A7EE67">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14:paraId="2B88090F">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14:paraId="29596B94">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14:paraId="66820AB5">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14:paraId="05D809F2">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3822D07D">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14:paraId="17A6ACCC">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14:paraId="5E042D1B">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14:paraId="6D3B0DC7">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14:paraId="669823D9">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4A335705">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7F3D719D">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14:paraId="66501D22">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14:paraId="38242ED8">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14:paraId="7CD18118">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6FA319B4">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14:paraId="1C6D5E33">
      <w:pPr>
        <w:spacing w:line="560" w:lineRule="exact"/>
        <w:ind w:firstLine="708" w:firstLineChars="200"/>
        <w:rPr>
          <w:rFonts w:hint="default" w:ascii="Times New Roman" w:hAnsi="Times New Roman" w:eastAsia="仿宋_GB2312" w:cs="Times New Roman"/>
          <w:color w:val="FF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1A74488B">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14:paraId="15837363">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14:paraId="5E8C8DC1">
      <w:pPr>
        <w:pStyle w:val="9"/>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14:paraId="52685D07">
      <w:pPr>
        <w:pStyle w:val="9"/>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14:paraId="3D928BB8">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14:paraId="4CA9811F">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673D2670">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17596AC4">
      <w:pPr>
        <w:spacing w:line="560" w:lineRule="exact"/>
        <w:ind w:firstLine="708" w:firstLineChars="200"/>
        <w:rPr>
          <w:rFonts w:hint="default" w:ascii="Times New Roman" w:hAnsi="Times New Roman" w:eastAsia="仿宋_GB2312" w:cs="Times New Roman"/>
          <w:color w:val="000000"/>
          <w:spacing w:val="17"/>
          <w:sz w:val="32"/>
          <w:szCs w:val="32"/>
          <w:highlight w:val="none"/>
          <w:lang w:val="en-US" w:eastAsia="zh-CN"/>
        </w:rPr>
      </w:pPr>
      <w:r>
        <w:rPr>
          <w:rFonts w:hint="default" w:ascii="Times New Roman" w:hAnsi="Times New Roman" w:eastAsia="仿宋_GB2312" w:cs="Times New Roman"/>
          <w:color w:val="000000"/>
          <w:spacing w:val="17"/>
          <w:sz w:val="32"/>
          <w:szCs w:val="32"/>
          <w:highlight w:val="none"/>
        </w:rPr>
        <w:t>（</w:t>
      </w:r>
      <w:r>
        <w:rPr>
          <w:rFonts w:hint="eastAsia" w:eastAsia="仿宋_GB2312" w:cs="Times New Roman"/>
          <w:color w:val="000000"/>
          <w:spacing w:val="17"/>
          <w:sz w:val="32"/>
          <w:szCs w:val="32"/>
          <w:highlight w:val="none"/>
          <w:lang w:val="en-US" w:eastAsia="zh-CN"/>
        </w:rPr>
        <w:t>一</w:t>
      </w:r>
      <w:r>
        <w:rPr>
          <w:rFonts w:hint="default" w:ascii="Times New Roman" w:hAnsi="Times New Roman" w:eastAsia="仿宋_GB2312" w:cs="Times New Roman"/>
          <w:color w:val="000000"/>
          <w:spacing w:val="17"/>
          <w:sz w:val="32"/>
          <w:szCs w:val="32"/>
          <w:highlight w:val="none"/>
        </w:rPr>
        <w:t>）比较法。是指将实施情况与绩效目标、历史情况、不同部门和地区同类支出情况进行比较的方法。</w:t>
      </w:r>
      <w:r>
        <w:rPr>
          <w:rFonts w:hint="eastAsia" w:eastAsia="仿宋_GB2312" w:cs="Times New Roman"/>
          <w:color w:val="000000"/>
          <w:spacing w:val="17"/>
          <w:sz w:val="32"/>
          <w:szCs w:val="32"/>
          <w:highlight w:val="none"/>
          <w:lang w:val="en-US" w:eastAsia="zh-CN"/>
        </w:rPr>
        <w:t>该项目属于长期项目，</w:t>
      </w:r>
      <w:r>
        <w:rPr>
          <w:rFonts w:eastAsia="仿宋_GB2312"/>
          <w:color w:val="000000"/>
          <w:spacing w:val="17"/>
          <w:sz w:val="32"/>
          <w:szCs w:val="32"/>
        </w:rPr>
        <w:t>通过对绩效目标与实施效果、历史与当期情况，综合分析绩效目标实现程度</w:t>
      </w:r>
      <w:r>
        <w:rPr>
          <w:rFonts w:hint="eastAsia" w:eastAsia="仿宋_GB2312"/>
          <w:color w:val="000000"/>
          <w:spacing w:val="17"/>
          <w:sz w:val="32"/>
          <w:szCs w:val="32"/>
          <w:lang w:eastAsia="zh-CN"/>
        </w:rPr>
        <w:t>，</w:t>
      </w:r>
      <w:r>
        <w:rPr>
          <w:rFonts w:eastAsia="仿宋_GB2312"/>
          <w:color w:val="000000"/>
          <w:spacing w:val="17"/>
          <w:sz w:val="32"/>
          <w:szCs w:val="32"/>
        </w:rPr>
        <w:t>年度绩效目标对比、预算资金执行情况等相关因素进行比较</w:t>
      </w:r>
      <w:r>
        <w:rPr>
          <w:rFonts w:hint="eastAsia" w:eastAsia="仿宋_GB2312"/>
          <w:color w:val="000000"/>
          <w:spacing w:val="17"/>
          <w:sz w:val="32"/>
          <w:szCs w:val="32"/>
          <w:lang w:eastAsia="zh-CN"/>
        </w:rPr>
        <w:t>，</w:t>
      </w:r>
      <w:r>
        <w:rPr>
          <w:rFonts w:hint="eastAsia" w:eastAsia="仿宋_GB2312"/>
          <w:color w:val="000000"/>
          <w:spacing w:val="17"/>
          <w:sz w:val="32"/>
          <w:szCs w:val="32"/>
          <w:lang w:val="en-US" w:eastAsia="zh-CN"/>
        </w:rPr>
        <w:t>进一步提高绩效评价工作。</w:t>
      </w:r>
    </w:p>
    <w:p w14:paraId="1998A62B">
      <w:pPr>
        <w:spacing w:line="560" w:lineRule="exact"/>
        <w:ind w:firstLine="708" w:firstLineChars="200"/>
        <w:rPr>
          <w:rFonts w:hint="default" w:ascii="Times New Roman" w:hAnsi="Times New Roman" w:eastAsia="仿宋_GB2312" w:cs="Times New Roman"/>
          <w:color w:val="000000"/>
          <w:spacing w:val="17"/>
          <w:sz w:val="32"/>
          <w:szCs w:val="32"/>
          <w:highlight w:val="none"/>
          <w:lang w:val="en-US" w:eastAsia="zh-CN"/>
        </w:rPr>
      </w:pPr>
      <w:r>
        <w:rPr>
          <w:rFonts w:hint="default" w:ascii="Times New Roman" w:hAnsi="Times New Roman" w:eastAsia="仿宋_GB2312" w:cs="Times New Roman"/>
          <w:color w:val="000000"/>
          <w:spacing w:val="17"/>
          <w:sz w:val="32"/>
          <w:szCs w:val="32"/>
          <w:highlight w:val="none"/>
        </w:rPr>
        <w:t>（</w:t>
      </w:r>
      <w:r>
        <w:rPr>
          <w:rFonts w:hint="eastAsia" w:eastAsia="仿宋_GB2312" w:cs="Times New Roman"/>
          <w:color w:val="000000"/>
          <w:spacing w:val="17"/>
          <w:sz w:val="32"/>
          <w:szCs w:val="32"/>
          <w:highlight w:val="none"/>
          <w:lang w:val="en-US" w:eastAsia="zh-CN"/>
        </w:rPr>
        <w:t>一</w:t>
      </w:r>
      <w:r>
        <w:rPr>
          <w:rFonts w:hint="default" w:ascii="Times New Roman" w:hAnsi="Times New Roman" w:eastAsia="仿宋_GB2312" w:cs="Times New Roman"/>
          <w:color w:val="000000"/>
          <w:spacing w:val="17"/>
          <w:sz w:val="32"/>
          <w:szCs w:val="32"/>
          <w:highlight w:val="none"/>
        </w:rPr>
        <w:t>）因素分析法。是指综合分析影响绩效目标实现、实施效果的内外部因素的方法。</w:t>
      </w:r>
      <w:r>
        <w:rPr>
          <w:rFonts w:eastAsia="仿宋_GB2312"/>
          <w:color w:val="000000"/>
          <w:spacing w:val="17"/>
          <w:sz w:val="32"/>
          <w:szCs w:val="32"/>
        </w:rPr>
        <w:t>通过对</w:t>
      </w:r>
      <w:r>
        <w:rPr>
          <w:rFonts w:hint="eastAsia" w:eastAsia="仿宋_GB2312"/>
          <w:color w:val="000000"/>
          <w:spacing w:val="17"/>
          <w:sz w:val="32"/>
          <w:szCs w:val="32"/>
          <w:lang w:val="en-US" w:eastAsia="zh-CN"/>
        </w:rPr>
        <w:t>该</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r>
        <w:rPr>
          <w:rFonts w:hint="eastAsia" w:eastAsia="仿宋_GB2312"/>
          <w:color w:val="000000"/>
          <w:spacing w:val="17"/>
          <w:sz w:val="32"/>
          <w:szCs w:val="32"/>
          <w:lang w:eastAsia="zh-CN"/>
        </w:rPr>
        <w:t>，</w:t>
      </w:r>
      <w:r>
        <w:rPr>
          <w:rFonts w:hint="eastAsia" w:eastAsia="仿宋_GB2312"/>
          <w:color w:val="000000"/>
          <w:spacing w:val="17"/>
          <w:sz w:val="32"/>
          <w:szCs w:val="32"/>
          <w:lang w:val="en-US" w:eastAsia="zh-CN"/>
        </w:rPr>
        <w:t>为下一年合理设置绩效目标提供数据支持。</w:t>
      </w:r>
    </w:p>
    <w:p w14:paraId="705D111E">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4</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评价标准</w:t>
      </w:r>
    </w:p>
    <w:p w14:paraId="18D88042">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lang w:val="en-US" w:eastAsia="zh-CN"/>
        </w:rPr>
        <w:t>计划</w:t>
      </w:r>
      <w:r>
        <w:rPr>
          <w:rFonts w:hint="default" w:ascii="Times New Roman" w:hAnsi="Times New Roman" w:eastAsia="仿宋_GB2312" w:cs="Times New Roman"/>
          <w:b w:val="0"/>
          <w:bCs w:val="0"/>
        </w:rPr>
        <w:t>标准。</w:t>
      </w:r>
    </w:p>
    <w:p w14:paraId="14960EFC">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w:t>
      </w:r>
    </w:p>
    <w:p w14:paraId="2553F46C">
      <w:pPr>
        <w:pStyle w:val="9"/>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7917E41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14:paraId="278E06D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7074CB7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14:paraId="33AA82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14:paraId="528032C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14:paraId="27F3714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5E9B453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14:paraId="7D592E4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5CD4A66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14:paraId="07F29C9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66C2151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14:paraId="61A361B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00B4A067">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41794787">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613A1F5D">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本项目的综合评价基于对项目各方面绩效的深入分析与评估。从项目目标的达成情况来看，</w:t>
      </w:r>
      <w:r>
        <w:rPr>
          <w:rFonts w:hint="eastAsia" w:ascii="Times New Roman" w:hAnsi="Times New Roman" w:eastAsia="仿宋_GB2312" w:cs="Times New Roman"/>
          <w:kern w:val="2"/>
          <w:sz w:val="32"/>
          <w:szCs w:val="32"/>
          <w:highlight w:val="none"/>
          <w:lang w:val="en-US" w:eastAsia="zh-CN" w:bidi="ar-SA"/>
        </w:rPr>
        <w:t>县委综合楼、易居综合楼运转保障经费（年初本级）</w:t>
      </w:r>
      <w:r>
        <w:rPr>
          <w:rFonts w:hint="default" w:ascii="Times New Roman" w:hAnsi="Times New Roman" w:eastAsia="仿宋_GB2312" w:cs="Times New Roman"/>
          <w:kern w:val="2"/>
          <w:sz w:val="32"/>
          <w:szCs w:val="32"/>
          <w:highlight w:val="none"/>
          <w:lang w:val="en-US" w:eastAsia="zh-CN" w:bidi="ar-SA"/>
        </w:rPr>
        <w:t>在</w:t>
      </w:r>
      <w:r>
        <w:rPr>
          <w:rFonts w:hint="eastAsia" w:ascii="Times New Roman" w:hAnsi="Times New Roman" w:eastAsia="仿宋_GB2312" w:cs="Times New Roman"/>
          <w:kern w:val="2"/>
          <w:sz w:val="32"/>
          <w:szCs w:val="32"/>
          <w:highlight w:val="none"/>
          <w:lang w:val="en-US" w:eastAsia="zh-CN" w:bidi="ar-SA"/>
        </w:rPr>
        <w:t>保障公益性岗位人员岗位工资、社保</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县委综合楼、易居综合楼的日常保障</w:t>
      </w:r>
      <w:r>
        <w:rPr>
          <w:rFonts w:hint="default" w:ascii="Times New Roman" w:hAnsi="Times New Roman" w:eastAsia="仿宋_GB2312" w:cs="Times New Roman"/>
          <w:kern w:val="2"/>
          <w:sz w:val="32"/>
          <w:szCs w:val="32"/>
          <w:highlight w:val="none"/>
          <w:lang w:val="en-US" w:eastAsia="zh-CN" w:bidi="ar-SA"/>
        </w:rPr>
        <w:t>等方面表现出色，达到了预期的标准与要求。同时，项目也在</w:t>
      </w:r>
      <w:r>
        <w:rPr>
          <w:rFonts w:hint="eastAsia" w:eastAsia="仿宋_GB2312" w:cs="Times New Roman"/>
          <w:kern w:val="2"/>
          <w:sz w:val="32"/>
          <w:szCs w:val="32"/>
          <w:highlight w:val="none"/>
          <w:lang w:val="en-US" w:eastAsia="zh-CN" w:bidi="ar-SA"/>
        </w:rPr>
        <w:t>后勤保障和人员管理</w:t>
      </w:r>
      <w:r>
        <w:rPr>
          <w:rFonts w:hint="default" w:ascii="Times New Roman" w:hAnsi="Times New Roman" w:eastAsia="仿宋_GB2312" w:cs="Times New Roman"/>
          <w:kern w:val="2"/>
          <w:sz w:val="32"/>
          <w:szCs w:val="32"/>
          <w:highlight w:val="none"/>
          <w:lang w:val="en-US" w:eastAsia="zh-CN" w:bidi="ar-SA"/>
        </w:rPr>
        <w:t>取得了显著的成效，如</w:t>
      </w:r>
      <w:r>
        <w:rPr>
          <w:rFonts w:hint="eastAsia" w:eastAsia="仿宋_GB2312" w:cs="Times New Roman"/>
          <w:kern w:val="2"/>
          <w:sz w:val="32"/>
          <w:szCs w:val="32"/>
          <w:highlight w:val="none"/>
          <w:lang w:val="en-US" w:eastAsia="zh-CN" w:bidi="ar-SA"/>
        </w:rPr>
        <w:t>2024年有力保障县委综合楼、易居综合楼的正常运转</w:t>
      </w:r>
      <w:r>
        <w:rPr>
          <w:rFonts w:hint="default" w:ascii="Times New Roman" w:hAnsi="Times New Roman" w:eastAsia="仿宋_GB2312" w:cs="Times New Roman"/>
          <w:kern w:val="2"/>
          <w:sz w:val="32"/>
          <w:szCs w:val="32"/>
          <w:highlight w:val="none"/>
          <w:lang w:val="en-US" w:eastAsia="zh-CN" w:bidi="ar-SA"/>
        </w:rPr>
        <w:t>、</w:t>
      </w:r>
      <w:r>
        <w:rPr>
          <w:rFonts w:hint="eastAsia" w:eastAsia="仿宋_GB2312" w:cs="Times New Roman"/>
          <w:kern w:val="2"/>
          <w:sz w:val="32"/>
          <w:szCs w:val="32"/>
          <w:highlight w:val="none"/>
          <w:lang w:val="en-US" w:eastAsia="zh-CN" w:bidi="ar-SA"/>
        </w:rPr>
        <w:t>县委综合楼6名公益性岗位人员1-12月社保、工资发放到位</w:t>
      </w:r>
      <w:r>
        <w:rPr>
          <w:rFonts w:hint="default" w:ascii="Times New Roman" w:hAnsi="Times New Roman" w:eastAsia="仿宋_GB2312" w:cs="Times New Roman"/>
          <w:kern w:val="2"/>
          <w:sz w:val="32"/>
          <w:szCs w:val="32"/>
          <w:highlight w:val="none"/>
          <w:lang w:val="en-US" w:eastAsia="zh-CN" w:bidi="ar-SA"/>
        </w:rPr>
        <w:t>等。</w:t>
      </w:r>
    </w:p>
    <w:p w14:paraId="2187F780">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在项目管理方面，</w:t>
      </w:r>
      <w:r>
        <w:rPr>
          <w:rFonts w:hint="eastAsia" w:ascii="Times New Roman" w:hAnsi="Times New Roman" w:eastAsia="仿宋_GB2312" w:cs="Times New Roman"/>
          <w:kern w:val="2"/>
          <w:sz w:val="32"/>
          <w:szCs w:val="32"/>
          <w:highlight w:val="none"/>
          <w:lang w:val="en-US" w:eastAsia="zh-CN" w:bidi="ar-SA"/>
        </w:rPr>
        <w:t>特克斯县机关事务中心</w:t>
      </w:r>
      <w:r>
        <w:rPr>
          <w:rFonts w:hint="default" w:ascii="Times New Roman" w:hAnsi="Times New Roman" w:eastAsia="仿宋_GB2312" w:cs="Times New Roman"/>
          <w:kern w:val="2"/>
          <w:sz w:val="32"/>
          <w:szCs w:val="32"/>
          <w:highlight w:val="none"/>
          <w:lang w:val="en-US" w:eastAsia="zh-CN" w:bidi="ar-SA"/>
        </w:rPr>
        <w:t>通过有效的规划、组织与协调，项目得以顺利实施，并在预算与时间上保持了良好的控制。</w:t>
      </w:r>
    </w:p>
    <w:p w14:paraId="5A5D11C5">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从项目效益的角度来看，本项目不仅实现了预期的社会效益方面产生了积极的影响。具体而言，</w:t>
      </w:r>
      <w:r>
        <w:rPr>
          <w:rFonts w:hint="eastAsia" w:ascii="Times New Roman" w:hAnsi="Times New Roman" w:eastAsia="仿宋_GB2312" w:cs="Times New Roman"/>
          <w:kern w:val="2"/>
          <w:sz w:val="32"/>
          <w:szCs w:val="32"/>
          <w:highlight w:val="none"/>
          <w:lang w:val="en-US" w:eastAsia="zh-CN" w:bidi="ar-SA"/>
        </w:rPr>
        <w:t>在保障县委综合楼、易居综合楼正常运转下，</w:t>
      </w:r>
      <w:r>
        <w:rPr>
          <w:rFonts w:hint="default" w:ascii="Times New Roman" w:hAnsi="Times New Roman" w:eastAsia="仿宋_GB2312" w:cs="Times New Roman"/>
          <w:kern w:val="2"/>
          <w:sz w:val="32"/>
          <w:szCs w:val="32"/>
          <w:highlight w:val="none"/>
          <w:lang w:val="en-US" w:eastAsia="zh-CN" w:bidi="ar-SA"/>
        </w:rPr>
        <w:t>综合大楼内各单位人员工作效</w:t>
      </w:r>
      <w:r>
        <w:rPr>
          <w:rFonts w:hint="eastAsia" w:ascii="Times New Roman" w:hAnsi="Times New Roman" w:eastAsia="仿宋_GB2312" w:cs="Times New Roman"/>
          <w:kern w:val="2"/>
          <w:sz w:val="32"/>
          <w:szCs w:val="32"/>
          <w:highlight w:val="none"/>
          <w:lang w:val="en-US" w:eastAsia="zh-CN" w:bidi="ar-SA"/>
        </w:rPr>
        <w:t>率</w:t>
      </w:r>
      <w:r>
        <w:rPr>
          <w:rFonts w:hint="default" w:ascii="Times New Roman" w:hAnsi="Times New Roman" w:eastAsia="仿宋_GB2312" w:cs="Times New Roman"/>
          <w:kern w:val="2"/>
          <w:sz w:val="32"/>
          <w:szCs w:val="32"/>
          <w:highlight w:val="none"/>
          <w:lang w:val="en-US" w:eastAsia="zh-CN" w:bidi="ar-SA"/>
        </w:rPr>
        <w:t>方面的提升，为项目的利益相关者带来了实实在在的利益。</w:t>
      </w:r>
    </w:p>
    <w:p w14:paraId="577A6C88">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综上所述，</w:t>
      </w:r>
      <w:r>
        <w:rPr>
          <w:rFonts w:hint="eastAsia" w:ascii="Times New Roman" w:hAnsi="Times New Roman" w:eastAsia="仿宋_GB2312" w:cs="Times New Roman"/>
          <w:kern w:val="2"/>
          <w:sz w:val="32"/>
          <w:szCs w:val="32"/>
          <w:highlight w:val="none"/>
          <w:lang w:val="en-US" w:eastAsia="zh-CN" w:bidi="ar-SA"/>
        </w:rPr>
        <w:t>县委综合楼、易居综合楼运转保障经费（年初本级）</w:t>
      </w:r>
      <w:r>
        <w:rPr>
          <w:rFonts w:hint="default" w:ascii="Times New Roman" w:hAnsi="Times New Roman" w:eastAsia="仿宋_GB2312" w:cs="Times New Roman"/>
          <w:kern w:val="2"/>
          <w:sz w:val="32"/>
          <w:szCs w:val="32"/>
          <w:highlight w:val="none"/>
          <w:lang w:val="en-US" w:eastAsia="zh-CN" w:bidi="ar-SA"/>
        </w:rPr>
        <w:t>在绩效评价中表现出色，达到了项目的预期目标，并在多个方面取得了显著的成效。</w:t>
      </w:r>
    </w:p>
    <w:p w14:paraId="68FE6020">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（二）评价结论</w:t>
      </w:r>
    </w:p>
    <w:p w14:paraId="11E5F15A">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ascii="Times New Roman" w:hAnsi="Times New Roman" w:eastAsia="仿宋_GB2312" w:cs="Times New Roman"/>
          <w:b w:val="0"/>
          <w:bCs w:val="0"/>
          <w:lang w:val="en-US" w:eastAsia="zh-CN"/>
        </w:rPr>
        <w:t>98.5</w:t>
      </w:r>
      <w:r>
        <w:rPr>
          <w:rFonts w:hint="default" w:ascii="Times New Roman" w:hAnsi="Times New Roman" w:eastAsia="仿宋_GB2312" w:cs="Times New Roman"/>
          <w:b w:val="0"/>
          <w:bCs w:val="0"/>
        </w:rPr>
        <w:t>分，属于“优</w:t>
      </w:r>
      <w:r>
        <w:rPr>
          <w:rFonts w:hint="eastAsia"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 xml:space="preserve">其中，项目决策类指标权重为20分，得分为 </w:t>
      </w:r>
      <w:r>
        <w:rPr>
          <w:rFonts w:hint="eastAsia" w:ascii="Times New Roman" w:hAnsi="Times New Roman" w:eastAsia="仿宋_GB2312" w:cs="Times New Roman"/>
          <w:b w:val="0"/>
          <w:bCs w:val="0"/>
          <w:lang w:val="en-US" w:eastAsia="zh-CN"/>
        </w:rPr>
        <w:t>20</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%。项目过程类指标权重为20分，得分为</w:t>
      </w:r>
      <w:r>
        <w:rPr>
          <w:rFonts w:hint="eastAsia" w:ascii="Times New Roman" w:hAnsi="Times New Roman" w:eastAsia="仿宋_GB2312" w:cs="Times New Roman"/>
          <w:b w:val="0"/>
          <w:bCs w:val="0"/>
          <w:lang w:val="en-US" w:eastAsia="zh-CN"/>
        </w:rPr>
        <w:t>19.5</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97.5</w:t>
      </w:r>
      <w:r>
        <w:rPr>
          <w:rFonts w:hint="default" w:ascii="Times New Roman" w:hAnsi="Times New Roman" w:eastAsia="仿宋_GB2312" w:cs="Times New Roman"/>
          <w:b w:val="0"/>
          <w:bCs w:val="0"/>
        </w:rPr>
        <w:t>%。项目产出类指标权重为40分，得分为</w:t>
      </w:r>
      <w:r>
        <w:rPr>
          <w:rFonts w:hint="eastAsia" w:ascii="Times New Roman" w:hAnsi="Times New Roman" w:eastAsia="仿宋_GB2312" w:cs="Times New Roman"/>
          <w:b w:val="0"/>
          <w:bCs w:val="0"/>
          <w:lang w:val="en-US" w:eastAsia="zh-CN"/>
        </w:rPr>
        <w:t>39</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97.5</w:t>
      </w:r>
      <w:r>
        <w:rPr>
          <w:rFonts w:hint="default" w:ascii="Times New Roman" w:hAnsi="Times New Roman" w:eastAsia="仿宋_GB2312" w:cs="Times New Roman"/>
          <w:b w:val="0"/>
          <w:bCs w:val="0"/>
        </w:rPr>
        <w:t>%。项目效益类指标权重为20分，得分为</w:t>
      </w:r>
      <w:r>
        <w:rPr>
          <w:rFonts w:hint="eastAsia" w:ascii="Times New Roman" w:hAnsi="Times New Roman" w:eastAsia="仿宋_GB2312" w:cs="Times New Roman"/>
          <w:b w:val="0"/>
          <w:bCs w:val="0"/>
          <w:lang w:val="en-US" w:eastAsia="zh-CN"/>
        </w:rPr>
        <w:t>20</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5C0EEF1E">
      <w:pPr>
        <w:pStyle w:val="9"/>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14:paraId="31530A84">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26AD156C">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5C263B38">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7BA7127F">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092FBDB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4F76B5E">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00D1B0DD">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4D1BD88">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49AB647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4D46622">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74741130">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C2EB722">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19.5</w:t>
            </w:r>
          </w:p>
        </w:tc>
      </w:tr>
      <w:tr w14:paraId="4DB810F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397A7D3">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458C7DE4">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31B6E261">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39</w:t>
            </w:r>
          </w:p>
        </w:tc>
      </w:tr>
      <w:tr w14:paraId="1F5A7C8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1C9BED7">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6A14CFA5">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6F151F4">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3417D33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04D751B">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3D40DA89">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453B4536">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98.5</w:t>
            </w:r>
          </w:p>
        </w:tc>
      </w:tr>
    </w:tbl>
    <w:p w14:paraId="6D407730">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060D6D2F">
      <w:pPr>
        <w:pStyle w:val="9"/>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6AAEB4A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ascii="Times New Roman" w:hAnsi="Times New Roman"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5868D4A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1.项目立项</w:t>
      </w:r>
    </w:p>
    <w:p w14:paraId="0C328B0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0E9ED5C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6884A6D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3277D1C3">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5F6437B7">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45676F2B">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75DDA3EB">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73BFED0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0E92598C">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5028B97C">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7996E842">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60426BF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7401E63B">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34BE65A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60C7B934">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794A97F2">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03CA1E2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1C543B39">
      <w:pPr>
        <w:pStyle w:val="9"/>
        <w:numPr>
          <w:ilvl w:val="0"/>
          <w:numId w:val="4"/>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14:paraId="5210FD3B">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三级指标构成，权重分值为20分，实际得分</w:t>
      </w:r>
      <w:r>
        <w:rPr>
          <w:rFonts w:hint="eastAsia" w:ascii="Times New Roman" w:hAnsi="Times New Roman" w:eastAsia="仿宋_GB2312" w:cs="Times New Roman"/>
          <w:sz w:val="32"/>
          <w:szCs w:val="32"/>
          <w:lang w:val="en-US" w:eastAsia="zh-CN"/>
        </w:rPr>
        <w:t>19.5</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97.5</w:t>
      </w:r>
      <w:r>
        <w:rPr>
          <w:rFonts w:hint="default" w:ascii="Times New Roman" w:hAnsi="Times New Roman" w:eastAsia="仿宋_GB2312" w:cs="Times New Roman"/>
          <w:sz w:val="32"/>
          <w:szCs w:val="32"/>
          <w:lang w:val="en-US" w:eastAsia="zh-CN"/>
        </w:rPr>
        <w:t>%。</w:t>
      </w:r>
    </w:p>
    <w:p w14:paraId="3DC6B099">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14:paraId="2301D9EC">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5BAA8EA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本项目总投资</w:t>
      </w:r>
      <w:r>
        <w:rPr>
          <w:rFonts w:hint="eastAsia" w:ascii="Times New Roman" w:hAnsi="Times New Roman" w:eastAsia="仿宋_GB2312" w:cs="Times New Roman"/>
          <w:sz w:val="32"/>
          <w:szCs w:val="32"/>
          <w:lang w:val="en-US" w:eastAsia="zh-CN"/>
        </w:rPr>
        <w:t>105</w:t>
      </w:r>
      <w:r>
        <w:rPr>
          <w:rFonts w:hint="default" w:ascii="Times New Roman" w:hAnsi="Times New Roman" w:eastAsia="仿宋_GB2312" w:cs="Times New Roman"/>
          <w:sz w:val="32"/>
          <w:szCs w:val="32"/>
          <w:lang w:val="en-US" w:eastAsia="zh-CN"/>
        </w:rPr>
        <w:t>万元，财政资金及时足额到位，到位率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%，预算资金按计划进度执行。</w:t>
      </w:r>
    </w:p>
    <w:p w14:paraId="2D1C6BC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5B34DA6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预算编制较为详细，项目资金支出总体能够按照预算执行，预算资金支出</w:t>
      </w:r>
      <w:r>
        <w:rPr>
          <w:rFonts w:hint="eastAsia" w:ascii="Times New Roman" w:hAnsi="Times New Roman" w:eastAsia="仿宋_GB2312" w:cs="Times New Roman"/>
          <w:sz w:val="32"/>
          <w:szCs w:val="32"/>
          <w:lang w:val="en-US" w:eastAsia="zh-CN"/>
        </w:rPr>
        <w:t>103.69</w:t>
      </w:r>
      <w:r>
        <w:rPr>
          <w:rFonts w:hint="default" w:ascii="Times New Roman" w:hAnsi="Times New Roman" w:eastAsia="仿宋_GB2312" w:cs="Times New Roman"/>
          <w:sz w:val="32"/>
          <w:szCs w:val="32"/>
          <w:lang w:val="en-US" w:eastAsia="zh-CN"/>
        </w:rPr>
        <w:t>万元，预算执行率为</w:t>
      </w:r>
      <w:r>
        <w:rPr>
          <w:rFonts w:hint="eastAsia" w:ascii="Times New Roman" w:hAnsi="Times New Roman" w:eastAsia="仿宋_GB2312" w:cs="Times New Roman"/>
          <w:sz w:val="32"/>
          <w:szCs w:val="32"/>
          <w:lang w:val="en-US" w:eastAsia="zh-CN"/>
        </w:rPr>
        <w:t>98.75</w:t>
      </w:r>
      <w:r>
        <w:rPr>
          <w:rFonts w:hint="default" w:ascii="Times New Roman" w:hAnsi="Times New Roman" w:eastAsia="仿宋_GB2312" w:cs="Times New Roman"/>
          <w:sz w:val="32"/>
          <w:szCs w:val="32"/>
          <w:lang w:val="en-US" w:eastAsia="zh-CN"/>
        </w:rPr>
        <w:t>%。</w:t>
      </w:r>
    </w:p>
    <w:p w14:paraId="63264F5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35E30B1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本项目的资金使用严格遵循了国家相关法律法规与财务制度，确保了资金的合规性与安全性。在资金使用过程中，我们建立了完善的财务管理体系，对资金的流动进行了全程监控与记录。</w:t>
      </w:r>
    </w:p>
    <w:p w14:paraId="7E33727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65A6A7D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0D271B0B">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14:paraId="2CA0841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14:paraId="5AB92BB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443B1FAC">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在制度设计上，我们注重了制度的科学性与可操作性，确保制度能够切实指导项目的执行与管理。</w:t>
      </w:r>
    </w:p>
    <w:p w14:paraId="507775A3">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71D2C85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7D4475C3">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1AAFF5A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523BE8A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557DCC5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70978DF7">
      <w:pPr>
        <w:pStyle w:val="10"/>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14:paraId="0195AA3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项目产出类指标包括产出数量、产出质量、产出时效、产出成本四方面的内容，由</w:t>
      </w:r>
      <w:r>
        <w:rPr>
          <w:rFonts w:hint="eastAsia" w:eastAsia="仿宋_GB2312" w:cs="Times New Roman"/>
          <w:sz w:val="32"/>
          <w:szCs w:val="32"/>
          <w:lang w:val="en-US" w:eastAsia="zh-CN"/>
        </w:rPr>
        <w:t>7</w:t>
      </w:r>
      <w:r>
        <w:rPr>
          <w:rFonts w:hint="default" w:ascii="Times New Roman" w:hAnsi="Times New Roman" w:eastAsia="仿宋_GB2312" w:cs="Times New Roman"/>
          <w:sz w:val="32"/>
          <w:szCs w:val="32"/>
          <w:lang w:val="en-US" w:eastAsia="zh-CN"/>
        </w:rPr>
        <w:t>个三级指标构成，权重分为40分，实际得分</w:t>
      </w:r>
      <w:r>
        <w:rPr>
          <w:rFonts w:hint="eastAsia" w:ascii="Times New Roman" w:hAnsi="Times New Roman" w:eastAsia="仿宋_GB2312" w:cs="Times New Roman"/>
          <w:sz w:val="32"/>
          <w:szCs w:val="32"/>
          <w:lang w:val="en-US" w:eastAsia="zh-CN"/>
        </w:rPr>
        <w:t>40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%。具体产出指标完成情况如下：</w:t>
      </w:r>
    </w:p>
    <w:p w14:paraId="144DF7C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5C772F84">
      <w:pPr>
        <w:shd w:val="clear" w:color="auto" w:fill="auto"/>
        <w:spacing w:line="600" w:lineRule="exact"/>
        <w:ind w:firstLine="640" w:firstLineChars="200"/>
        <w:outlineLvl w:val="0"/>
        <w:rPr>
          <w:rFonts w:hint="default" w:ascii="Times New Roman" w:hAnsi="Times New Roman" w:cs="Times New Roman"/>
        </w:rPr>
      </w:pPr>
      <w:r>
        <w:rPr>
          <w:rFonts w:hint="default" w:ascii="Times New Roman" w:hAnsi="Times New Roman" w:eastAsia="仿宋_GB2312" w:cs="Times New Roman"/>
          <w:sz w:val="32"/>
          <w:szCs w:val="32"/>
          <w:highlight w:val="none"/>
        </w:rPr>
        <w:t>指标1：公益性岗位人员发放次数 ，指标值：</w:t>
      </w:r>
      <w:r>
        <w:rPr>
          <w:rFonts w:hint="eastAsia" w:eastAsia="仿宋_GB2312" w:cs="Times New Roman"/>
          <w:sz w:val="32"/>
          <w:szCs w:val="32"/>
          <w:highlight w:val="none"/>
          <w:lang w:val="en-US" w:eastAsia="zh-CN"/>
        </w:rPr>
        <w:t>12次</w:t>
      </w:r>
      <w:r>
        <w:rPr>
          <w:rFonts w:hint="default" w:ascii="Times New Roman" w:hAnsi="Times New Roman" w:eastAsia="仿宋_GB2312" w:cs="Times New Roman"/>
          <w:sz w:val="32"/>
          <w:szCs w:val="32"/>
          <w:highlight w:val="none"/>
        </w:rPr>
        <w:t xml:space="preserve"> ，实际完成值：</w:t>
      </w:r>
      <w:r>
        <w:rPr>
          <w:rFonts w:hint="eastAsia" w:eastAsia="仿宋_GB2312" w:cs="Times New Roman"/>
          <w:sz w:val="32"/>
          <w:szCs w:val="32"/>
          <w:highlight w:val="none"/>
          <w:lang w:val="en-US" w:eastAsia="zh-CN"/>
        </w:rPr>
        <w:t>12次</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p>
    <w:p w14:paraId="3774552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2：保障综合楼数量 ，</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6栋</w:t>
      </w:r>
      <w:r>
        <w:rPr>
          <w:rFonts w:hint="default" w:ascii="Times New Roman" w:hAnsi="Times New Roman" w:eastAsia="仿宋_GB2312" w:cs="Times New Roman"/>
          <w:sz w:val="32"/>
          <w:szCs w:val="32"/>
          <w:highlight w:val="none"/>
        </w:rPr>
        <w:t xml:space="preserve"> ，实际完成值：</w:t>
      </w:r>
      <w:r>
        <w:rPr>
          <w:rFonts w:hint="eastAsia" w:eastAsia="仿宋_GB2312" w:cs="Times New Roman"/>
          <w:sz w:val="32"/>
          <w:szCs w:val="32"/>
          <w:highlight w:val="none"/>
          <w:lang w:val="en-US" w:eastAsia="zh-CN"/>
        </w:rPr>
        <w:t>6栋</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p>
    <w:p w14:paraId="0DC66BA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eastAsia" w:ascii="Times New Roman" w:hAnsi="Times New Roman" w:eastAsia="仿宋_GB2312" w:cs="Times New Roman"/>
          <w:sz w:val="32"/>
          <w:szCs w:val="32"/>
          <w:highlight w:val="none"/>
          <w:lang w:val="en-US" w:eastAsia="zh-CN"/>
        </w:rPr>
        <w:t>公益性岗位人数</w:t>
      </w:r>
      <w:r>
        <w:rPr>
          <w:rFonts w:hint="eastAsia" w:eastAsia="仿宋_GB2312" w:cs="Times New Roman"/>
          <w:sz w:val="32"/>
          <w:szCs w:val="32"/>
          <w:highlight w:val="none"/>
          <w:lang w:val="en-US" w:eastAsia="zh-CN"/>
        </w:rPr>
        <w:t>6人，</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6人</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6人</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p>
    <w:p w14:paraId="18CD917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p>
    <w:p w14:paraId="5AA3C99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质量指标：指标1：公益性岗位人员工资社保保障率 ，指标值：98%，实际完成值：</w:t>
      </w:r>
      <w:r>
        <w:rPr>
          <w:rFonts w:hint="eastAsia" w:eastAsia="仿宋_GB2312" w:cs="Times New Roman"/>
          <w:sz w:val="32"/>
          <w:szCs w:val="32"/>
          <w:highlight w:val="none"/>
          <w:lang w:val="en-US" w:eastAsia="zh-CN"/>
        </w:rPr>
        <w:t>98%</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p>
    <w:p w14:paraId="79CC19F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：综合大楼公用经费保障率 ，指标值：&gt;=98% ，实际完成值：</w:t>
      </w:r>
      <w:r>
        <w:rPr>
          <w:rFonts w:hint="eastAsia" w:eastAsia="仿宋_GB2312" w:cs="Times New Roman"/>
          <w:sz w:val="32"/>
          <w:szCs w:val="32"/>
          <w:highlight w:val="none"/>
          <w:lang w:val="en-US" w:eastAsia="zh-CN"/>
        </w:rPr>
        <w:t xml:space="preserve">98% </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p>
    <w:p w14:paraId="738BA96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时效指标：指标1：公益性岗位人员工资社保发放及时率 ，指标值：&gt;=98% ，实际完成值：</w:t>
      </w:r>
      <w:r>
        <w:rPr>
          <w:rFonts w:hint="eastAsia" w:eastAsia="仿宋_GB2312" w:cs="Times New Roman"/>
          <w:sz w:val="32"/>
          <w:szCs w:val="32"/>
          <w:highlight w:val="none"/>
          <w:lang w:val="en-US" w:eastAsia="zh-CN"/>
        </w:rPr>
        <w:t xml:space="preserve">98% </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p>
    <w:p w14:paraId="2B6E4B4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：公用经费支付及时率，指标值：&gt;=98% ，实际完成值：</w:t>
      </w:r>
      <w:r>
        <w:rPr>
          <w:rFonts w:hint="eastAsia" w:eastAsia="仿宋_GB2312" w:cs="Times New Roman"/>
          <w:sz w:val="32"/>
          <w:szCs w:val="32"/>
          <w:highlight w:val="none"/>
          <w:lang w:val="en-US" w:eastAsia="zh-CN"/>
        </w:rPr>
        <w:t xml:space="preserve">98% </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p>
    <w:p w14:paraId="1EE23C6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成本指标：指标1公益性岗位工资及社保补贴数，指标值：&lt;=930元/人/次 ，实际完成值：</w:t>
      </w:r>
      <w:r>
        <w:rPr>
          <w:rFonts w:hint="eastAsia" w:ascii="Times New Roman" w:hAnsi="Times New Roman" w:eastAsia="仿宋_GB2312" w:cs="Times New Roman"/>
          <w:sz w:val="32"/>
          <w:szCs w:val="32"/>
          <w:highlight w:val="none"/>
          <w:lang w:val="en-US" w:eastAsia="zh-CN"/>
        </w:rPr>
        <w:t>921.53元/人/次</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99.08</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default" w:ascii="Times New Roman" w:hAnsi="Times New Roman" w:eastAsia="仿宋_GB2312" w:cs="Times New Roman"/>
          <w:sz w:val="32"/>
          <w:szCs w:val="32"/>
          <w:highlight w:val="none"/>
        </w:rPr>
        <w:t>因社保基数由自治区于年中统一上调，无法精准预测</w:t>
      </w:r>
      <w:r>
        <w:rPr>
          <w:rFonts w:hint="default" w:ascii="Times New Roman" w:hAnsi="Times New Roman" w:eastAsia="仿宋_GB2312" w:cs="Times New Roman"/>
          <w:sz w:val="32"/>
          <w:szCs w:val="32"/>
          <w:highlight w:val="none"/>
          <w:lang w:eastAsia="zh-CN"/>
        </w:rPr>
        <w:t>。</w:t>
      </w:r>
    </w:p>
    <w:p w14:paraId="005E508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：综合办公楼公用经费，指标值：</w:t>
      </w:r>
      <w:r>
        <w:rPr>
          <w:rFonts w:hint="eastAsia" w:eastAsia="仿宋_GB2312" w:cs="Times New Roman"/>
          <w:sz w:val="32"/>
          <w:szCs w:val="32"/>
          <w:highlight w:val="none"/>
          <w:lang w:val="en-US" w:eastAsia="zh-CN"/>
        </w:rPr>
        <w:t>98.3万元</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97.05万元</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98.72</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，偏差原因：在项目实施过程中，综合楼各项后勤保障工作属于突发和零时产生，导致部分工作未提前预算，在下一年度</w:t>
      </w:r>
      <w:r>
        <w:rPr>
          <w:rFonts w:hint="eastAsia" w:ascii="Times New Roman" w:hAnsi="Times New Roman" w:eastAsia="仿宋_GB2312" w:cs="Times New Roman"/>
          <w:sz w:val="32"/>
          <w:szCs w:val="32"/>
          <w:highlight w:val="none"/>
          <w:lang w:val="en-US" w:eastAsia="zh-CN"/>
        </w:rPr>
        <w:t>我单位</w:t>
      </w:r>
      <w:r>
        <w:rPr>
          <w:rFonts w:hint="default" w:ascii="Times New Roman" w:hAnsi="Times New Roman" w:eastAsia="仿宋_GB2312" w:cs="Times New Roman"/>
          <w:sz w:val="32"/>
          <w:szCs w:val="32"/>
          <w:highlight w:val="none"/>
          <w:lang w:eastAsia="zh-CN"/>
        </w:rPr>
        <w:t>加强预算。</w:t>
      </w:r>
    </w:p>
    <w:p w14:paraId="0D29DE1F">
      <w:pPr>
        <w:pStyle w:val="10"/>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14:paraId="43BF344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个三级指标构成，权重分为20分，实际得分</w:t>
      </w:r>
      <w:r>
        <w:rPr>
          <w:rFonts w:hint="eastAsia"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%。具体效益指标及满意度指标完成情况如下：</w:t>
      </w:r>
    </w:p>
    <w:p w14:paraId="5D0074D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1.实施效益①</w:t>
      </w:r>
      <w:r>
        <w:rPr>
          <w:rFonts w:hint="default" w:ascii="Times New Roman" w:hAnsi="Times New Roman" w:eastAsia="仿宋_GB2312" w:cs="Times New Roman"/>
          <w:sz w:val="32"/>
          <w:szCs w:val="32"/>
          <w:highlight w:val="none"/>
        </w:rPr>
        <w:t>社会效益指标：指标1：提升综合大楼内各单位人员工作效率 ，指标值：</w:t>
      </w:r>
      <w:r>
        <w:rPr>
          <w:rFonts w:hint="eastAsia" w:eastAsia="仿宋_GB2312" w:cs="Times New Roman"/>
          <w:sz w:val="32"/>
          <w:szCs w:val="32"/>
          <w:highlight w:val="none"/>
          <w:lang w:val="en-US" w:eastAsia="zh-CN"/>
        </w:rPr>
        <w:t>持续提升</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持续提升</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p>
    <w:p w14:paraId="5B9BB5A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单位人员满意度</w:t>
      </w:r>
      <w:r>
        <w:rPr>
          <w:rFonts w:hint="default" w:ascii="Times New Roman" w:hAnsi="Times New Roman" w:eastAsia="仿宋_GB2312" w:cs="Times New Roman"/>
          <w:sz w:val="32"/>
          <w:szCs w:val="32"/>
          <w:highlight w:val="none"/>
        </w:rPr>
        <w:t>指标，指标值：&gt;=98% ，实际完成值：</w:t>
      </w:r>
      <w:r>
        <w:rPr>
          <w:rFonts w:hint="eastAsia" w:eastAsia="仿宋_GB2312" w:cs="Times New Roman"/>
          <w:sz w:val="32"/>
          <w:szCs w:val="32"/>
          <w:highlight w:val="none"/>
          <w:lang w:val="en-US" w:eastAsia="zh-CN"/>
        </w:rPr>
        <w:t>98%</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p>
    <w:p w14:paraId="63404B7A">
      <w:pPr>
        <w:spacing w:line="560" w:lineRule="exact"/>
        <w:ind w:firstLine="643" w:firstLineChars="200"/>
        <w:rPr>
          <w:rFonts w:hint="default" w:ascii="Times New Roman" w:hAnsi="Times New Roman" w:eastAsia="楷体_GB2312" w:cs="Times New Roman"/>
          <w:b/>
          <w:bCs/>
          <w:sz w:val="32"/>
          <w:szCs w:val="32"/>
          <w:lang w:val="en-U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rPr>
        <w:t>预算执行进度与绩效指标总体完成率偏差</w:t>
      </w:r>
    </w:p>
    <w:p w14:paraId="686BD18C">
      <w:pPr>
        <w:pStyle w:val="20"/>
        <w:spacing w:line="560" w:lineRule="exact"/>
        <w:ind w:firstLine="640"/>
        <w:rPr>
          <w:rFonts w:hint="default" w:ascii="Times New Roman" w:hAnsi="Times New Roman" w:eastAsia="方正仿宋_GBK" w:cs="Times New Roman"/>
          <w:sz w:val="32"/>
          <w:szCs w:val="32"/>
          <w:highlight w:val="yellow"/>
          <w:lang w:val="en-US" w:eastAsia="zh-CN"/>
        </w:rPr>
      </w:pPr>
      <w:r>
        <w:rPr>
          <w:rFonts w:hint="default" w:ascii="Times New Roman" w:hAnsi="Times New Roman" w:eastAsia="仿宋_GB2312" w:cs="Times New Roman"/>
          <w:kern w:val="2"/>
          <w:sz w:val="32"/>
          <w:szCs w:val="32"/>
          <w:highlight w:val="none"/>
          <w:lang w:val="en-US" w:eastAsia="zh-CN" w:bidi="ar-SA"/>
        </w:rPr>
        <w:t>县委综合楼、易居综合楼运转保障经费（年初本级）项目年初预算</w:t>
      </w:r>
      <w:r>
        <w:rPr>
          <w:rFonts w:hint="eastAsia" w:ascii="Times New Roman" w:hAnsi="Times New Roman" w:eastAsia="仿宋_GB2312" w:cs="Times New Roman"/>
          <w:kern w:val="2"/>
          <w:sz w:val="32"/>
          <w:szCs w:val="32"/>
          <w:highlight w:val="none"/>
          <w:lang w:val="en-US" w:eastAsia="zh-CN" w:bidi="ar-SA"/>
        </w:rPr>
        <w:t>10</w:t>
      </w:r>
      <w:r>
        <w:rPr>
          <w:rFonts w:hint="eastAsia" w:eastAsia="仿宋_GB2312" w:cs="Times New Roman"/>
          <w:kern w:val="2"/>
          <w:sz w:val="32"/>
          <w:szCs w:val="32"/>
          <w:highlight w:val="none"/>
          <w:lang w:val="en-US" w:eastAsia="zh-CN" w:bidi="ar-SA"/>
        </w:rPr>
        <w:t>0</w:t>
      </w:r>
      <w:r>
        <w:rPr>
          <w:rFonts w:hint="default" w:ascii="Times New Roman" w:hAnsi="Times New Roman" w:eastAsia="仿宋_GB2312" w:cs="Times New Roman"/>
          <w:kern w:val="2"/>
          <w:sz w:val="32"/>
          <w:szCs w:val="32"/>
          <w:highlight w:val="none"/>
          <w:lang w:val="en-US" w:eastAsia="zh-CN" w:bidi="ar-SA"/>
        </w:rPr>
        <w:t>万元，全年预算</w:t>
      </w:r>
      <w:r>
        <w:rPr>
          <w:rFonts w:hint="eastAsia" w:ascii="Times New Roman" w:hAnsi="Times New Roman" w:eastAsia="仿宋_GB2312" w:cs="Times New Roman"/>
          <w:kern w:val="2"/>
          <w:sz w:val="32"/>
          <w:szCs w:val="32"/>
          <w:highlight w:val="none"/>
          <w:lang w:val="en-US" w:eastAsia="zh-CN" w:bidi="ar-SA"/>
        </w:rPr>
        <w:t>105</w:t>
      </w:r>
      <w:r>
        <w:rPr>
          <w:rFonts w:hint="default" w:ascii="Times New Roman" w:hAnsi="Times New Roman" w:eastAsia="仿宋_GB2312" w:cs="Times New Roman"/>
          <w:kern w:val="2"/>
          <w:sz w:val="32"/>
          <w:szCs w:val="32"/>
          <w:highlight w:val="none"/>
          <w:lang w:val="en-US" w:eastAsia="zh-CN" w:bidi="ar-SA"/>
        </w:rPr>
        <w:t>万元，实际支出</w:t>
      </w:r>
      <w:r>
        <w:rPr>
          <w:rFonts w:hint="eastAsia" w:ascii="Times New Roman" w:hAnsi="Times New Roman" w:eastAsia="仿宋_GB2312" w:cs="Times New Roman"/>
          <w:kern w:val="2"/>
          <w:sz w:val="32"/>
          <w:szCs w:val="32"/>
          <w:highlight w:val="none"/>
          <w:lang w:val="en-US" w:eastAsia="zh-CN" w:bidi="ar-SA"/>
        </w:rPr>
        <w:t>103.69</w:t>
      </w:r>
      <w:r>
        <w:rPr>
          <w:rFonts w:hint="default" w:ascii="Times New Roman" w:hAnsi="Times New Roman" w:eastAsia="仿宋_GB2312" w:cs="Times New Roman"/>
          <w:kern w:val="2"/>
          <w:sz w:val="32"/>
          <w:szCs w:val="32"/>
          <w:highlight w:val="none"/>
          <w:lang w:val="en-US" w:eastAsia="zh-CN" w:bidi="ar-SA"/>
        </w:rPr>
        <w:t>万元，预算执行率为</w:t>
      </w:r>
      <w:r>
        <w:rPr>
          <w:rFonts w:hint="eastAsia" w:ascii="Times New Roman" w:hAnsi="Times New Roman" w:eastAsia="仿宋_GB2312" w:cs="Times New Roman"/>
          <w:kern w:val="2"/>
          <w:sz w:val="32"/>
          <w:szCs w:val="32"/>
          <w:highlight w:val="none"/>
          <w:lang w:val="en-US" w:eastAsia="zh-CN" w:bidi="ar-SA"/>
        </w:rPr>
        <w:t>98.75</w:t>
      </w:r>
      <w:r>
        <w:rPr>
          <w:rFonts w:hint="default" w:ascii="Times New Roman" w:hAnsi="Times New Roman" w:eastAsia="仿宋_GB2312" w:cs="Times New Roman"/>
          <w:kern w:val="2"/>
          <w:sz w:val="32"/>
          <w:szCs w:val="32"/>
          <w:highlight w:val="none"/>
          <w:lang w:val="en-US" w:eastAsia="zh-CN" w:bidi="ar-SA"/>
        </w:rPr>
        <w:t>%，项目绩效指标总体完成率</w:t>
      </w:r>
      <w:r>
        <w:rPr>
          <w:rFonts w:hint="eastAsia" w:ascii="Times New Roman" w:hAnsi="Times New Roman" w:eastAsia="仿宋_GB2312" w:cs="Times New Roman"/>
          <w:kern w:val="2"/>
          <w:sz w:val="32"/>
          <w:szCs w:val="32"/>
          <w:highlight w:val="none"/>
          <w:lang w:val="en-US" w:eastAsia="zh-CN" w:bidi="ar-SA"/>
        </w:rPr>
        <w:t>为97.8</w:t>
      </w:r>
      <w:r>
        <w:rPr>
          <w:rFonts w:hint="default"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bidi="ar-SA"/>
        </w:rPr>
        <w:t>总体</w:t>
      </w:r>
      <w:r>
        <w:rPr>
          <w:rFonts w:hint="default" w:ascii="Times New Roman" w:hAnsi="Times New Roman" w:eastAsia="仿宋_GB2312" w:cs="Times New Roman"/>
          <w:kern w:val="2"/>
          <w:sz w:val="32"/>
          <w:szCs w:val="32"/>
          <w:highlight w:val="none"/>
          <w:lang w:val="en-US" w:eastAsia="zh-CN" w:bidi="ar-SA"/>
        </w:rPr>
        <w:t>偏差率为</w:t>
      </w:r>
      <w:r>
        <w:rPr>
          <w:rFonts w:hint="eastAsia" w:ascii="Times New Roman" w:hAnsi="Times New Roman" w:eastAsia="仿宋_GB2312" w:cs="Times New Roman"/>
          <w:kern w:val="2"/>
          <w:sz w:val="32"/>
          <w:szCs w:val="32"/>
          <w:highlight w:val="none"/>
          <w:lang w:val="en-US" w:eastAsia="zh-CN" w:bidi="ar-SA"/>
        </w:rPr>
        <w:t>2.2</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bidi="ar-SA"/>
        </w:rPr>
        <w:t>偏差</w:t>
      </w:r>
      <w:r>
        <w:rPr>
          <w:rFonts w:hint="default" w:ascii="Times New Roman" w:hAnsi="Times New Roman" w:eastAsia="仿宋_GB2312" w:cs="Times New Roman"/>
          <w:kern w:val="2"/>
          <w:sz w:val="32"/>
          <w:szCs w:val="32"/>
          <w:highlight w:val="none"/>
          <w:lang w:val="en-US" w:eastAsia="zh-CN" w:bidi="ar-SA"/>
        </w:rPr>
        <w:t>原因</w:t>
      </w:r>
      <w:r>
        <w:rPr>
          <w:rFonts w:hint="eastAsia" w:ascii="Times New Roman" w:hAnsi="Times New Roman" w:eastAsia="仿宋_GB2312" w:cs="Times New Roman"/>
          <w:kern w:val="2"/>
          <w:sz w:val="32"/>
          <w:szCs w:val="32"/>
          <w:highlight w:val="none"/>
          <w:lang w:val="en-US" w:eastAsia="zh-CN" w:bidi="ar-SA"/>
        </w:rPr>
        <w:t>1.</w:t>
      </w:r>
      <w:r>
        <w:rPr>
          <w:rFonts w:hint="default" w:ascii="Times New Roman" w:hAnsi="Times New Roman" w:eastAsia="仿宋_GB2312" w:cs="Times New Roman"/>
          <w:kern w:val="2"/>
          <w:sz w:val="32"/>
          <w:szCs w:val="32"/>
          <w:highlight w:val="none"/>
          <w:lang w:val="en-US" w:eastAsia="zh-CN" w:bidi="ar-SA"/>
        </w:rPr>
        <w:t>因社保基数由自治区于年中统一上调，无法精准预测，导致测算有偏差，下一年度结合近</w:t>
      </w:r>
      <w:r>
        <w:rPr>
          <w:rFonts w:hint="eastAsia" w:ascii="Times New Roman" w:hAnsi="Times New Roman" w:eastAsia="仿宋_GB2312" w:cs="Times New Roman"/>
          <w:kern w:val="2"/>
          <w:sz w:val="32"/>
          <w:szCs w:val="32"/>
          <w:highlight w:val="none"/>
          <w:lang w:val="en-US" w:eastAsia="zh-CN" w:bidi="ar-SA"/>
        </w:rPr>
        <w:t>几年数据进行测算。2</w:t>
      </w:r>
      <w:r>
        <w:rPr>
          <w:rFonts w:hint="default" w:ascii="Times New Roman" w:hAnsi="Times New Roman" w:eastAsia="仿宋_GB2312" w:cs="Times New Roman"/>
          <w:kern w:val="2"/>
          <w:sz w:val="32"/>
          <w:szCs w:val="32"/>
          <w:highlight w:val="none"/>
          <w:lang w:val="en-US" w:eastAsia="zh-CN" w:bidi="ar-SA"/>
        </w:rPr>
        <w:t>在项目实施过程中，综合楼各项后勤保障工作属于突发和零时产生，导致部分工作未提前预</w:t>
      </w:r>
      <w:r>
        <w:rPr>
          <w:rFonts w:hint="eastAsia" w:ascii="Times New Roman" w:hAnsi="Times New Roman" w:eastAsia="仿宋_GB2312" w:cs="Times New Roman"/>
          <w:kern w:val="2"/>
          <w:sz w:val="32"/>
          <w:szCs w:val="32"/>
          <w:highlight w:val="none"/>
          <w:lang w:val="en-US" w:eastAsia="zh-CN" w:bidi="ar-SA"/>
        </w:rPr>
        <w:t>测</w:t>
      </w:r>
      <w:r>
        <w:rPr>
          <w:rFonts w:hint="default"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bidi="ar-SA"/>
        </w:rPr>
        <w:t>改进</w:t>
      </w:r>
      <w:r>
        <w:rPr>
          <w:rFonts w:hint="default" w:ascii="Times New Roman" w:hAnsi="Times New Roman" w:eastAsia="仿宋_GB2312" w:cs="Times New Roman"/>
          <w:kern w:val="2"/>
          <w:sz w:val="32"/>
          <w:szCs w:val="32"/>
          <w:highlight w:val="none"/>
          <w:lang w:val="en-US" w:eastAsia="zh-CN" w:bidi="ar-SA"/>
        </w:rPr>
        <w:t>措施</w:t>
      </w:r>
      <w:r>
        <w:rPr>
          <w:rFonts w:hint="eastAsia" w:ascii="Times New Roman" w:hAnsi="Times New Roman" w:eastAsia="仿宋_GB2312" w:cs="Times New Roman"/>
          <w:kern w:val="2"/>
          <w:sz w:val="32"/>
          <w:szCs w:val="32"/>
          <w:highlight w:val="none"/>
          <w:lang w:val="en-US" w:eastAsia="zh-CN" w:bidi="ar-SA"/>
        </w:rPr>
        <w:t>1.结合近几年数据进行更精准的预测2、加强</w:t>
      </w:r>
      <w:r>
        <w:rPr>
          <w:rFonts w:hint="default" w:ascii="Times New Roman" w:hAnsi="Times New Roman" w:eastAsia="仿宋_GB2312" w:cs="Times New Roman"/>
          <w:kern w:val="2"/>
          <w:sz w:val="32"/>
          <w:szCs w:val="32"/>
          <w:highlight w:val="none"/>
          <w:lang w:val="en-US" w:eastAsia="zh-CN" w:bidi="ar-SA"/>
        </w:rPr>
        <w:t>相关绩效管理方面专业知识的系统性学习</w:t>
      </w:r>
      <w:r>
        <w:rPr>
          <w:rFonts w:hint="eastAsia" w:ascii="Times New Roman" w:hAnsi="Times New Roman" w:eastAsia="仿宋_GB2312" w:cs="Times New Roman"/>
          <w:kern w:val="2"/>
          <w:sz w:val="32"/>
          <w:szCs w:val="32"/>
          <w:highlight w:val="none"/>
          <w:lang w:val="en-US" w:eastAsia="zh-CN" w:bidi="ar-SA"/>
        </w:rPr>
        <w:t>。</w:t>
      </w:r>
    </w:p>
    <w:p w14:paraId="57A73D55">
      <w:pPr>
        <w:spacing w:line="560" w:lineRule="exact"/>
        <w:ind w:firstLine="640" w:firstLineChars="200"/>
        <w:rPr>
          <w:rStyle w:val="19"/>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14:paraId="16E35037">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460E5A0D">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76950D65">
      <w:pPr>
        <w:pStyle w:val="9"/>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4ED7855B">
      <w:pPr>
        <w:keepNext/>
        <w:keepLines/>
        <w:numPr>
          <w:ilvl w:val="0"/>
          <w:numId w:val="5"/>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4A0E916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r>
        <w:rPr>
          <w:rFonts w:hint="eastAsia" w:eastAsia="仿宋_GB2312" w:cs="Times New Roman"/>
          <w:sz w:val="32"/>
          <w:szCs w:val="32"/>
          <w:highlight w:val="none"/>
          <w:lang w:val="en-US" w:eastAsia="zh-CN"/>
        </w:rPr>
        <w:t>结合单位项目，加强社保基数调整的预算，加强综合楼突发、零时性问题的预见性。</w:t>
      </w:r>
    </w:p>
    <w:p w14:paraId="07413386">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14:paraId="630FC7C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14:paraId="055EEB3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进一步加强对绩效管理工作的组织领导，提高对预算绩效管理工作重要性的认识，总结经验查找问题，抓紧研究制定更全面更完善的绩效评价管理办法</w:t>
      </w:r>
      <w:r>
        <w:rPr>
          <w:rFonts w:hint="eastAsia" w:eastAsia="仿宋_GB2312" w:cs="Times New Roman"/>
          <w:sz w:val="32"/>
          <w:szCs w:val="32"/>
          <w:highlight w:val="none"/>
          <w:lang w:val="en-US" w:eastAsia="zh-CN"/>
        </w:rPr>
        <w:t>，加大</w:t>
      </w:r>
      <w:r>
        <w:rPr>
          <w:rFonts w:hint="default" w:ascii="Times New Roman" w:hAnsi="Times New Roman" w:eastAsia="仿宋_GB2312" w:cs="Times New Roman"/>
          <w:sz w:val="32"/>
          <w:szCs w:val="32"/>
          <w:highlight w:val="none"/>
          <w:lang w:val="en-US" w:eastAsia="zh-CN"/>
        </w:rPr>
        <w:t>对全面实施预算绩效管理和绩效管理工作的学习力度，让“花钱必问效，无效必问责”的理念深入工作每个环节。</w:t>
      </w:r>
    </w:p>
    <w:p w14:paraId="250D9037">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14:paraId="1BA4ADBE">
      <w:pPr>
        <w:pStyle w:val="11"/>
        <w:spacing w:after="0" w:line="560" w:lineRule="exact"/>
        <w:ind w:left="0" w:leftChars="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本项目无其他需说明的问题。</w:t>
      </w:r>
    </w:p>
    <w:p w14:paraId="36011AE4">
      <w:pPr>
        <w:pStyle w:val="11"/>
        <w:spacing w:after="0" w:line="560" w:lineRule="exact"/>
        <w:ind w:left="0" w:leftChars="0" w:firstLine="640"/>
        <w:rPr>
          <w:rFonts w:hint="eastAsia" w:ascii="Times New Roman" w:hAnsi="Times New Roman" w:eastAsia="仿宋_GB2312" w:cs="Times New Roman"/>
          <w:sz w:val="32"/>
          <w:szCs w:val="32"/>
          <w:lang w:eastAsia="zh-CN"/>
        </w:rPr>
      </w:pPr>
    </w:p>
    <w:p w14:paraId="3630081C">
      <w:pPr>
        <w:pStyle w:val="11"/>
        <w:spacing w:after="0" w:line="560" w:lineRule="exact"/>
        <w:ind w:left="0" w:leftChars="0" w:firstLine="640"/>
        <w:rPr>
          <w:rFonts w:hint="eastAsia" w:ascii="Times New Roman" w:hAnsi="Times New Roman" w:eastAsia="仿宋_GB2312" w:cs="Times New Roman"/>
          <w:sz w:val="32"/>
          <w:szCs w:val="32"/>
          <w:lang w:eastAsia="zh-CN"/>
        </w:rPr>
      </w:pPr>
    </w:p>
    <w:p w14:paraId="414D7348">
      <w:pPr>
        <w:pStyle w:val="11"/>
        <w:spacing w:after="0" w:line="560" w:lineRule="exact"/>
        <w:ind w:left="0" w:leftChars="0" w:firstLine="640"/>
        <w:rPr>
          <w:rFonts w:hint="default" w:ascii="Times New Roman" w:hAnsi="Times New Roman" w:eastAsia="仿宋_GB2312" w:cs="Times New Roman"/>
          <w:sz w:val="32"/>
          <w:szCs w:val="32"/>
          <w:lang w:eastAsia="zh-CN"/>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1700C99-DE9C-4643-B8CC-65DFFEEAA42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C1A53CAF-12A8-45FD-848D-4E7F16E58DF5}"/>
  </w:font>
  <w:font w:name="华文中宋">
    <w:panose1 w:val="02010600040101010101"/>
    <w:charset w:val="86"/>
    <w:family w:val="auto"/>
    <w:pitch w:val="default"/>
    <w:sig w:usb0="00000287" w:usb1="080F0000" w:usb2="00000000" w:usb3="00000000" w:csb0="0004009F" w:csb1="DFD70000"/>
    <w:embedRegular r:id="rId3" w:fontKey="{6F20C937-AC58-4DC6-8524-ECB8601CF606}"/>
  </w:font>
  <w:font w:name="方正小标宋_GBK">
    <w:panose1 w:val="02000000000000000000"/>
    <w:charset w:val="86"/>
    <w:family w:val="script"/>
    <w:pitch w:val="default"/>
    <w:sig w:usb0="A00002BF" w:usb1="38CF7CFA" w:usb2="00082016" w:usb3="00000000" w:csb0="00040001" w:csb1="00000000"/>
    <w:embedRegular r:id="rId4" w:fontKey="{7B90B557-4C30-4DEA-B986-ED2EFC71105F}"/>
  </w:font>
  <w:font w:name="方正小标宋简体">
    <w:panose1 w:val="02000000000000000000"/>
    <w:charset w:val="86"/>
    <w:family w:val="auto"/>
    <w:pitch w:val="default"/>
    <w:sig w:usb0="00000001" w:usb1="08000000" w:usb2="00000000" w:usb3="00000000" w:csb0="00040000" w:csb1="00000000"/>
    <w:embedRegular r:id="rId5" w:fontKey="{27F16EDD-CC00-4826-844C-04649CCF4742}"/>
  </w:font>
  <w:font w:name="楷体_GB2312">
    <w:panose1 w:val="02010609030101010101"/>
    <w:charset w:val="86"/>
    <w:family w:val="auto"/>
    <w:pitch w:val="default"/>
    <w:sig w:usb0="00000001" w:usb1="080E0000" w:usb2="00000000" w:usb3="00000000" w:csb0="00040000" w:csb1="00000000"/>
    <w:embedRegular r:id="rId6" w:fontKey="{6026C2E0-B97C-453E-8049-9E283D3A2E2F}"/>
  </w:font>
  <w:font w:name="方正仿宋_GBK">
    <w:altName w:val="微软雅黑"/>
    <w:panose1 w:val="02000000000000000000"/>
    <w:charset w:val="86"/>
    <w:family w:val="auto"/>
    <w:pitch w:val="default"/>
    <w:sig w:usb0="00000000" w:usb1="00000000" w:usb2="00082016" w:usb3="00000000" w:csb0="00040001" w:csb1="00000000"/>
    <w:embedRegular r:id="rId7" w:fontKey="{518737FE-045E-43ED-91D5-4F66E2D2420D}"/>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embedRegular r:id="rId8" w:fontKey="{DD81F755-88BA-46C7-9B9C-81251B87017C}"/>
  </w:font>
  <w:font w:name="WPSEMBED36">
    <w:panose1 w:val="02010609030101010101"/>
    <w:charset w:val="86"/>
    <w:family w:val="auto"/>
    <w:pitch w:val="default"/>
    <w:sig w:usb0="00000001" w:usb1="080E0000" w:usb2="00000000" w:usb3="00000000" w:csb0="00040000" w:csb1="00000000"/>
  </w:font>
  <w:font w:name="WPSEMBED37">
    <w:panose1 w:val="02010609030101010101"/>
    <w:charset w:val="86"/>
    <w:family w:val="auto"/>
    <w:pitch w:val="default"/>
    <w:sig w:usb0="00000001" w:usb1="080E0000" w:usb2="00000000" w:usb3="00000000" w:csb0="00040000" w:csb1="00000000"/>
  </w:font>
  <w:font w:name="WPSEMBED38">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6A0C1DFB">
        <w:pPr>
          <w:pStyle w:val="6"/>
          <w:jc w:val="center"/>
        </w:pPr>
        <w:r>
          <w:fldChar w:fldCharType="begin"/>
        </w:r>
        <w:r>
          <w:instrText xml:space="preserve">PAGE   \* MERGEFORMAT</w:instrText>
        </w:r>
        <w:r>
          <w:fldChar w:fldCharType="separate"/>
        </w:r>
        <w:r>
          <w:rPr>
            <w:lang w:val="zh-CN"/>
          </w:rPr>
          <w:t>13</w:t>
        </w:r>
        <w:r>
          <w:fldChar w:fldCharType="end"/>
        </w:r>
      </w:p>
    </w:sdtContent>
  </w:sdt>
  <w:p w14:paraId="2DD90ED4">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2"/>
      <w:numFmt w:val="chineseCounting"/>
      <w:suff w:val="nothing"/>
      <w:lvlText w:val="（%1）"/>
      <w:lvlJc w:val="left"/>
      <w:rPr>
        <w:rFonts w:hint="eastAsia"/>
      </w:rPr>
    </w:lvl>
  </w:abstractNum>
  <w:abstractNum w:abstractNumId="1">
    <w:nsid w:val="BF205925"/>
    <w:multiLevelType w:val="singleLevel"/>
    <w:tmpl w:val="BF205925"/>
    <w:lvl w:ilvl="0" w:tentative="0">
      <w:start w:val="2"/>
      <w:numFmt w:val="chineseCounting"/>
      <w:suff w:val="nothing"/>
      <w:lvlText w:val="（%1）"/>
      <w:lvlJc w:val="left"/>
      <w:rPr>
        <w:rFonts w:hint="eastAsia"/>
      </w:rPr>
    </w:lvl>
  </w:abstractNum>
  <w:abstractNum w:abstractNumId="2">
    <w:nsid w:val="CF092B84"/>
    <w:multiLevelType w:val="singleLevel"/>
    <w:tmpl w:val="CF092B84"/>
    <w:lvl w:ilvl="0" w:tentative="0">
      <w:start w:val="3"/>
      <w:numFmt w:val="chineseCounting"/>
      <w:suff w:val="nothing"/>
      <w:lvlText w:val="（%1）"/>
      <w:lvlJc w:val="left"/>
      <w:rPr>
        <w:rFonts w:hint="eastAsia"/>
      </w:rPr>
    </w:lvl>
  </w:abstractNum>
  <w:abstractNum w:abstractNumId="3">
    <w:nsid w:val="0053208E"/>
    <w:multiLevelType w:val="singleLevel"/>
    <w:tmpl w:val="0053208E"/>
    <w:lvl w:ilvl="0" w:tentative="0">
      <w:start w:val="1"/>
      <w:numFmt w:val="decimal"/>
      <w:suff w:val="nothing"/>
      <w:lvlText w:val="（%1）"/>
      <w:lvlJc w:val="left"/>
    </w:lvl>
  </w:abstractNum>
  <w:abstractNum w:abstractNumId="4">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00000000"/>
    <w:rsid w:val="598B0477"/>
    <w:rsid w:val="72E70A8D"/>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Body Text Indent"/>
    <w:basedOn w:val="1"/>
    <w:qFormat/>
    <w:uiPriority w:val="0"/>
    <w:pPr>
      <w:spacing w:after="120"/>
      <w:ind w:left="420" w:leftChars="200"/>
    </w:pPr>
    <w:rPr>
      <w:rFonts w:ascii="Calibri" w:hAnsi="Calibri"/>
    </w:rPr>
  </w:style>
  <w:style w:type="paragraph" w:styleId="5">
    <w:name w:val="Balloon Text"/>
    <w:basedOn w:val="1"/>
    <w:link w:val="21"/>
    <w:qFormat/>
    <w:uiPriority w:val="0"/>
    <w:rPr>
      <w:sz w:val="18"/>
      <w:szCs w:val="18"/>
    </w:rPr>
  </w:style>
  <w:style w:type="paragraph" w:styleId="6">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7">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rPr>
  </w:style>
  <w:style w:type="paragraph" w:styleId="9">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0">
    <w:name w:val="Body Text First Indent"/>
    <w:basedOn w:val="3"/>
    <w:qFormat/>
    <w:uiPriority w:val="0"/>
    <w:pPr>
      <w:spacing w:after="0"/>
      <w:ind w:firstLine="200" w:firstLineChars="200"/>
    </w:pPr>
  </w:style>
  <w:style w:type="paragraph" w:styleId="11">
    <w:name w:val="Body Text First Indent 2"/>
    <w:basedOn w:val="4"/>
    <w:qFormat/>
    <w:uiPriority w:val="0"/>
    <w:pPr>
      <w:ind w:firstLine="420" w:firstLineChars="200"/>
    </w:pPr>
  </w:style>
  <w:style w:type="table" w:styleId="13">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Strong"/>
    <w:basedOn w:val="14"/>
    <w:qFormat/>
    <w:uiPriority w:val="0"/>
    <w:rPr>
      <w:b/>
      <w:bCs/>
    </w:rPr>
  </w:style>
  <w:style w:type="paragraph" w:customStyle="1" w:styleId="16">
    <w:name w:val="Comment Text"/>
    <w:basedOn w:val="1"/>
    <w:link w:val="23"/>
    <w:qFormat/>
    <w:uiPriority w:val="0"/>
    <w:pPr>
      <w:jc w:val="left"/>
    </w:pPr>
  </w:style>
  <w:style w:type="paragraph" w:customStyle="1" w:styleId="17">
    <w:name w:val="Comment Subject"/>
    <w:basedOn w:val="16"/>
    <w:next w:val="16"/>
    <w:link w:val="24"/>
    <w:qFormat/>
    <w:uiPriority w:val="0"/>
    <w:rPr>
      <w:b/>
      <w:bCs/>
    </w:rPr>
  </w:style>
  <w:style w:type="character" w:customStyle="1" w:styleId="18">
    <w:name w:val="Comment Reference"/>
    <w:basedOn w:val="14"/>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4"/>
    <w:link w:val="5"/>
    <w:qFormat/>
    <w:uiPriority w:val="0"/>
    <w:rPr>
      <w:rFonts w:ascii="Times New Roman" w:hAnsi="Times New Roman" w:eastAsia="宋体" w:cs="Times New Roman"/>
      <w:kern w:val="2"/>
      <w:sz w:val="18"/>
      <w:szCs w:val="18"/>
    </w:rPr>
  </w:style>
  <w:style w:type="character" w:customStyle="1" w:styleId="22">
    <w:name w:val="页眉 字符"/>
    <w:basedOn w:val="14"/>
    <w:link w:val="7"/>
    <w:qFormat/>
    <w:uiPriority w:val="0"/>
    <w:rPr>
      <w:rFonts w:ascii="Times New Roman" w:hAnsi="Times New Roman" w:eastAsia="宋体" w:cs="Times New Roman"/>
      <w:kern w:val="2"/>
      <w:sz w:val="18"/>
      <w:szCs w:val="18"/>
    </w:rPr>
  </w:style>
  <w:style w:type="character" w:customStyle="1" w:styleId="23">
    <w:name w:val="批注文字 字符"/>
    <w:basedOn w:val="14"/>
    <w:link w:val="16"/>
    <w:qFormat/>
    <w:uiPriority w:val="0"/>
    <w:rPr>
      <w:rFonts w:ascii="Times New Roman" w:hAnsi="Times New Roman" w:eastAsia="宋体" w:cs="Times New Roman"/>
      <w:kern w:val="2"/>
      <w:sz w:val="21"/>
      <w:szCs w:val="24"/>
    </w:rPr>
  </w:style>
  <w:style w:type="character" w:customStyle="1" w:styleId="24">
    <w:name w:val="批注主题 字符"/>
    <w:basedOn w:val="23"/>
    <w:link w:val="17"/>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16EA1D4315E240CEA757381988DAF287_13</vt:lpwstr>
  </property>
  <property fmtid="{D5CDD505-2E9C-101B-9397-08002B2CF9AE}" pid="4" name="KSOTemplateDocerSaveRecord">
    <vt:lpwstr>eyJoZGlkIjoiM2QyNTVlMjA1MzU0ZmE2ZGVjNjEzNjExZjg0MmQ1MzciLCJ1c2VySWQiOiIyMjk4MzUzNDIifQ==</vt:lpwstr>
  </property>
</Properties>
</file>

<file path=customXml/itemProps1.xml><?xml version="1.0" encoding="utf-8"?>
<ds:datastoreItem xmlns:ds="http://schemas.openxmlformats.org/officeDocument/2006/customXml" ds:itemID="{c83ca365-eb7c-4ad5-9c1b-f2544c8e5e36}">
  <ds:schemaRefs/>
</ds:datastoreItem>
</file>

<file path=docProps/app.xml><?xml version="1.0" encoding="utf-8"?>
<Properties xmlns="http://schemas.openxmlformats.org/officeDocument/2006/extended-properties" xmlns:vt="http://schemas.openxmlformats.org/officeDocument/2006/docPropsVTypes">
  <Template>Normal</Template>
  <Pages>21</Pages>
  <Words>9830</Words>
  <Characters>10120</Characters>
  <Lines>58</Lines>
  <Paragraphs>16</Paragraphs>
  <TotalTime>8</TotalTime>
  <ScaleCrop>false</ScaleCrop>
  <LinksUpToDate>false</LinksUpToDate>
  <CharactersWithSpaces>10139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来财&amp;十个勤天</cp:lastModifiedBy>
  <dcterms:modified xsi:type="dcterms:W3CDTF">2025-11-13T07:57:32Z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16EA1D4315E240CEA757381988DAF287_13</vt:lpwstr>
  </property>
  <property fmtid="{D5CDD505-2E9C-101B-9397-08002B2CF9AE}" pid="4" name="KSOTemplateDocerSaveRecord">
    <vt:lpwstr>eyJoZGlkIjoiZjZjY2YzNDY3YWM4YThjNjdkZTk2MDAwYjE2OGQzNDQiLCJ1c2VySWQiOiIzNzI2MDMzNTYifQ==</vt:lpwstr>
  </property>
</Properties>
</file>