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F936CF">
      <w:pPr>
        <w:spacing w:line="540" w:lineRule="exact"/>
        <w:jc w:val="center"/>
        <w:rPr>
          <w:rFonts w:hint="default" w:ascii="Times New Roman" w:hAnsi="Times New Roman" w:eastAsia="华文中宋" w:cs="Times New Roman"/>
          <w:b/>
          <w:kern w:val="0"/>
          <w:sz w:val="52"/>
          <w:szCs w:val="52"/>
          <w:highlight w:val="none"/>
        </w:rPr>
      </w:pPr>
    </w:p>
    <w:p w14:paraId="1966EA71">
      <w:pPr>
        <w:spacing w:line="540" w:lineRule="exact"/>
        <w:rPr>
          <w:rFonts w:hint="default" w:ascii="Times New Roman" w:hAnsi="Times New Roman" w:eastAsia="华文中宋" w:cs="Times New Roman"/>
          <w:b/>
          <w:kern w:val="0"/>
          <w:sz w:val="52"/>
          <w:szCs w:val="52"/>
          <w:highlight w:val="none"/>
        </w:rPr>
      </w:pPr>
    </w:p>
    <w:p w14:paraId="71F9C7D3">
      <w:pPr>
        <w:spacing w:line="540" w:lineRule="exact"/>
        <w:jc w:val="center"/>
        <w:rPr>
          <w:rFonts w:hint="default" w:ascii="Times New Roman" w:hAnsi="Times New Roman" w:eastAsia="华文中宋" w:cs="Times New Roman"/>
          <w:b/>
          <w:kern w:val="0"/>
          <w:sz w:val="52"/>
          <w:szCs w:val="52"/>
          <w:highlight w:val="none"/>
        </w:rPr>
      </w:pPr>
    </w:p>
    <w:p w14:paraId="7FC16032">
      <w:pPr>
        <w:spacing w:line="540" w:lineRule="exact"/>
        <w:jc w:val="center"/>
        <w:rPr>
          <w:rFonts w:hint="default" w:ascii="Times New Roman" w:hAnsi="Times New Roman" w:eastAsia="华文中宋" w:cs="Times New Roman"/>
          <w:b/>
          <w:kern w:val="0"/>
          <w:sz w:val="52"/>
          <w:szCs w:val="52"/>
          <w:highlight w:val="none"/>
        </w:rPr>
      </w:pPr>
    </w:p>
    <w:p w14:paraId="2AB226AB">
      <w:pPr>
        <w:spacing w:line="540" w:lineRule="exact"/>
        <w:jc w:val="center"/>
        <w:rPr>
          <w:rFonts w:hint="default" w:ascii="Times New Roman" w:hAnsi="Times New Roman" w:eastAsia="方正小标宋_GBK" w:cs="Times New Roman"/>
          <w:kern w:val="0"/>
          <w:sz w:val="48"/>
          <w:szCs w:val="48"/>
          <w:highlight w:val="none"/>
        </w:rPr>
      </w:pPr>
      <w:r>
        <w:rPr>
          <w:rFonts w:hint="eastAsia" w:ascii="方正小标宋简体" w:hAnsi="方正小标宋简体" w:eastAsia="方正小标宋简体" w:cs="方正小标宋简体"/>
          <w:kern w:val="0"/>
          <w:sz w:val="44"/>
          <w:szCs w:val="44"/>
          <w:highlight w:val="none"/>
        </w:rPr>
        <w:t>财政城乡居民基本养老保险资金项目支出绩效评价报告</w:t>
      </w:r>
    </w:p>
    <w:p w14:paraId="3076F5E6">
      <w:pPr>
        <w:spacing w:line="540" w:lineRule="exact"/>
        <w:jc w:val="center"/>
        <w:rPr>
          <w:rFonts w:hint="default" w:ascii="Times New Roman" w:hAnsi="Times New Roman" w:eastAsia="华文中宋" w:cs="Times New Roman"/>
          <w:b/>
          <w:kern w:val="0"/>
          <w:sz w:val="52"/>
          <w:szCs w:val="52"/>
          <w:highlight w:val="none"/>
        </w:rPr>
      </w:pPr>
    </w:p>
    <w:p w14:paraId="1BA17DAB">
      <w:pP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2"/>
          <w:szCs w:val="32"/>
          <w:highlight w:val="none"/>
        </w:rPr>
        <w:t>（202</w:t>
      </w:r>
      <w:r>
        <w:rPr>
          <w:rFonts w:hint="default" w:ascii="Times New Roman" w:hAnsi="Times New Roman" w:eastAsia="仿宋_GB2312" w:cs="Times New Roman"/>
          <w:kern w:val="0"/>
          <w:sz w:val="32"/>
          <w:szCs w:val="32"/>
          <w:highlight w:val="none"/>
          <w:lang w:val="en-US" w:eastAsia="zh-CN"/>
        </w:rPr>
        <w:t>4</w:t>
      </w:r>
      <w:r>
        <w:rPr>
          <w:rFonts w:hint="default" w:ascii="Times New Roman" w:hAnsi="Times New Roman" w:eastAsia="仿宋_GB2312" w:cs="Times New Roman"/>
          <w:kern w:val="0"/>
          <w:sz w:val="32"/>
          <w:szCs w:val="32"/>
          <w:highlight w:val="none"/>
        </w:rPr>
        <w:t>年度）</w:t>
      </w:r>
    </w:p>
    <w:p w14:paraId="2904F40D">
      <w:pPr>
        <w:spacing w:line="540" w:lineRule="exact"/>
        <w:jc w:val="center"/>
        <w:rPr>
          <w:rFonts w:hint="default" w:ascii="Times New Roman" w:hAnsi="Times New Roman" w:eastAsia="仿宋_GB2312" w:cs="Times New Roman"/>
          <w:kern w:val="0"/>
          <w:sz w:val="30"/>
          <w:szCs w:val="30"/>
          <w:highlight w:val="none"/>
        </w:rPr>
      </w:pPr>
    </w:p>
    <w:p w14:paraId="2EC6560B">
      <w:pPr>
        <w:spacing w:line="540" w:lineRule="exact"/>
        <w:jc w:val="center"/>
        <w:rPr>
          <w:rFonts w:hint="default" w:ascii="Times New Roman" w:hAnsi="Times New Roman" w:eastAsia="仿宋_GB2312" w:cs="Times New Roman"/>
          <w:kern w:val="0"/>
          <w:sz w:val="30"/>
          <w:szCs w:val="30"/>
          <w:highlight w:val="none"/>
        </w:rPr>
      </w:pPr>
    </w:p>
    <w:p w14:paraId="6E7EFB86">
      <w:pPr>
        <w:pStyle w:val="10"/>
        <w:rPr>
          <w:rFonts w:hint="default" w:ascii="Times New Roman" w:hAnsi="Times New Roman" w:cs="Times New Roman"/>
          <w:highlight w:val="none"/>
        </w:rPr>
      </w:pPr>
    </w:p>
    <w:p w14:paraId="7D9A8E3A">
      <w:pPr>
        <w:spacing w:line="540" w:lineRule="exact"/>
        <w:jc w:val="center"/>
        <w:rPr>
          <w:rFonts w:hint="default" w:ascii="Times New Roman" w:hAnsi="Times New Roman" w:eastAsia="仿宋_GB2312" w:cs="Times New Roman"/>
          <w:kern w:val="0"/>
          <w:sz w:val="30"/>
          <w:szCs w:val="30"/>
          <w:highlight w:val="none"/>
        </w:rPr>
      </w:pPr>
    </w:p>
    <w:p w14:paraId="261C2D82">
      <w:pPr>
        <w:spacing w:line="540" w:lineRule="exact"/>
        <w:rPr>
          <w:rFonts w:hint="default" w:ascii="Times New Roman" w:hAnsi="Times New Roman" w:eastAsia="仿宋_GB2312" w:cs="Times New Roman"/>
          <w:kern w:val="0"/>
          <w:sz w:val="30"/>
          <w:szCs w:val="30"/>
          <w:highlight w:val="none"/>
        </w:rPr>
      </w:pPr>
    </w:p>
    <w:p w14:paraId="07CFBBF4">
      <w:pPr>
        <w:keepNext w:val="0"/>
        <w:keepLines w:val="0"/>
        <w:pageBreakBefore w:val="0"/>
        <w:widowControl w:val="0"/>
        <w:kinsoku/>
        <w:wordWrap/>
        <w:overflowPunct/>
        <w:topLinePunct w:val="0"/>
        <w:autoSpaceDE/>
        <w:autoSpaceDN/>
        <w:bidi w:val="0"/>
        <w:adjustRightInd/>
        <w:snapToGrid/>
        <w:spacing w:line="700" w:lineRule="exact"/>
        <w:ind w:left="2877" w:leftChars="608" w:hanging="1600" w:hangingChars="500"/>
        <w:jc w:val="left"/>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项目名称：</w:t>
      </w:r>
      <w:r>
        <w:rPr>
          <w:rFonts w:hint="eastAsia" w:eastAsia="仿宋_GB2312" w:cs="Times New Roman"/>
          <w:kern w:val="0"/>
          <w:sz w:val="32"/>
          <w:szCs w:val="32"/>
          <w:highlight w:val="none"/>
          <w:lang w:val="en-US" w:eastAsia="zh-CN"/>
        </w:rPr>
        <w:t>特克斯县2024年</w:t>
      </w:r>
      <w:r>
        <w:rPr>
          <w:rFonts w:hint="default" w:ascii="Times New Roman" w:hAnsi="Times New Roman" w:eastAsia="仿宋_GB2312" w:cs="Times New Roman"/>
          <w:kern w:val="0"/>
          <w:sz w:val="32"/>
          <w:szCs w:val="32"/>
          <w:highlight w:val="none"/>
        </w:rPr>
        <w:t>财政城乡居民基本养老保险资金</w:t>
      </w:r>
    </w:p>
    <w:p w14:paraId="2C5790C8">
      <w:pPr>
        <w:keepNext w:val="0"/>
        <w:keepLines w:val="0"/>
        <w:pageBreakBefore w:val="0"/>
        <w:widowControl w:val="0"/>
        <w:kinsoku/>
        <w:wordWrap/>
        <w:overflowPunct/>
        <w:topLinePunct w:val="0"/>
        <w:autoSpaceDE/>
        <w:autoSpaceDN/>
        <w:bidi w:val="0"/>
        <w:adjustRightInd/>
        <w:snapToGrid/>
        <w:spacing w:line="700" w:lineRule="exact"/>
        <w:ind w:firstLine="1280" w:firstLineChars="400"/>
        <w:jc w:val="left"/>
        <w:textAlignment w:val="auto"/>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实施单位（公章）：</w:t>
      </w:r>
      <w:r>
        <w:rPr>
          <w:rFonts w:hint="eastAsia"/>
          <w:kern w:val="0"/>
          <w:sz w:val="32"/>
          <w:szCs w:val="32"/>
          <w:highlight w:val="none"/>
          <w:lang w:bidi="en-US"/>
        </w:rPr>
        <w:t>特克斯</w:t>
      </w:r>
      <w:r>
        <w:rPr>
          <w:rFonts w:hint="eastAsia" w:cs="仿宋_GB2312"/>
          <w:kern w:val="0"/>
          <w:sz w:val="32"/>
          <w:szCs w:val="32"/>
          <w:highlight w:val="none"/>
          <w:lang w:bidi="en-US"/>
        </w:rPr>
        <w:t>县人力资源和社会保障局</w:t>
      </w:r>
    </w:p>
    <w:p w14:paraId="6C1A28BA">
      <w:pPr>
        <w:keepNext w:val="0"/>
        <w:keepLines w:val="0"/>
        <w:pageBreakBefore w:val="0"/>
        <w:widowControl w:val="0"/>
        <w:kinsoku/>
        <w:wordWrap/>
        <w:overflowPunct/>
        <w:topLinePunct w:val="0"/>
        <w:autoSpaceDE/>
        <w:autoSpaceDN/>
        <w:bidi w:val="0"/>
        <w:adjustRightInd/>
        <w:snapToGrid/>
        <w:spacing w:line="700" w:lineRule="exact"/>
        <w:ind w:firstLine="1280" w:firstLineChars="400"/>
        <w:jc w:val="left"/>
        <w:textAlignment w:val="auto"/>
        <w:rPr>
          <w:rFonts w:ascii="仿宋_GB2312" w:hAnsi="仿宋_GB2312" w:cs="仿宋_GB2312"/>
          <w:kern w:val="0"/>
          <w:sz w:val="32"/>
          <w:szCs w:val="32"/>
          <w:highlight w:val="none"/>
          <w:lang w:bidi="en-US"/>
        </w:rPr>
      </w:pPr>
      <w:r>
        <w:rPr>
          <w:rFonts w:hint="default" w:ascii="Times New Roman" w:hAnsi="Times New Roman" w:eastAsia="仿宋_GB2312" w:cs="Times New Roman"/>
          <w:kern w:val="0"/>
          <w:sz w:val="32"/>
          <w:szCs w:val="32"/>
          <w:highlight w:val="none"/>
        </w:rPr>
        <w:t>主管部门（公章）：</w:t>
      </w:r>
      <w:r>
        <w:rPr>
          <w:rFonts w:hint="eastAsia"/>
          <w:kern w:val="0"/>
          <w:sz w:val="32"/>
          <w:szCs w:val="32"/>
          <w:highlight w:val="none"/>
          <w:lang w:bidi="en-US"/>
        </w:rPr>
        <w:t>特克斯</w:t>
      </w:r>
      <w:r>
        <w:rPr>
          <w:rFonts w:hint="eastAsia" w:cs="仿宋_GB2312"/>
          <w:kern w:val="0"/>
          <w:sz w:val="32"/>
          <w:szCs w:val="32"/>
          <w:highlight w:val="none"/>
          <w:lang w:bidi="en-US"/>
        </w:rPr>
        <w:t>县人力资源和社会保障局</w:t>
      </w:r>
    </w:p>
    <w:p w14:paraId="620C387C">
      <w:pPr>
        <w:keepNext w:val="0"/>
        <w:keepLines w:val="0"/>
        <w:pageBreakBefore w:val="0"/>
        <w:widowControl w:val="0"/>
        <w:kinsoku/>
        <w:wordWrap/>
        <w:overflowPunct/>
        <w:topLinePunct w:val="0"/>
        <w:autoSpaceDE/>
        <w:autoSpaceDN/>
        <w:bidi w:val="0"/>
        <w:adjustRightInd/>
        <w:snapToGrid/>
        <w:spacing w:line="700" w:lineRule="exact"/>
        <w:ind w:firstLine="1280" w:firstLineChars="400"/>
        <w:jc w:val="left"/>
        <w:textAlignment w:val="auto"/>
        <w:rPr>
          <w:rFonts w:hint="eastAsia"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项目负责人（签章）：</w:t>
      </w:r>
      <w:r>
        <w:rPr>
          <w:rFonts w:hint="eastAsia" w:eastAsia="仿宋_GB2312" w:cs="Times New Roman"/>
          <w:kern w:val="0"/>
          <w:sz w:val="32"/>
          <w:szCs w:val="32"/>
          <w:highlight w:val="none"/>
          <w:lang w:val="en-US" w:eastAsia="zh-CN"/>
        </w:rPr>
        <w:t>胡启书</w:t>
      </w:r>
    </w:p>
    <w:p w14:paraId="7D7D041D">
      <w:pPr>
        <w:keepNext w:val="0"/>
        <w:keepLines w:val="0"/>
        <w:pageBreakBefore w:val="0"/>
        <w:widowControl w:val="0"/>
        <w:kinsoku/>
        <w:wordWrap/>
        <w:overflowPunct/>
        <w:topLinePunct w:val="0"/>
        <w:autoSpaceDE/>
        <w:autoSpaceDN/>
        <w:bidi w:val="0"/>
        <w:adjustRightInd/>
        <w:snapToGrid/>
        <w:spacing w:line="700" w:lineRule="exact"/>
        <w:ind w:firstLine="1280" w:firstLineChars="400"/>
        <w:jc w:val="left"/>
        <w:textAlignment w:val="auto"/>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2"/>
          <w:szCs w:val="32"/>
          <w:highlight w:val="none"/>
        </w:rPr>
        <w:t>填报时间：</w:t>
      </w:r>
      <w:r>
        <w:rPr>
          <w:rFonts w:hint="eastAsia" w:eastAsia="仿宋_GB2312" w:cs="Times New Roman"/>
          <w:kern w:val="0"/>
          <w:sz w:val="32"/>
          <w:szCs w:val="32"/>
          <w:highlight w:val="none"/>
          <w:lang w:val="en-US" w:eastAsia="zh-CN"/>
        </w:rPr>
        <w:t>2025</w:t>
      </w:r>
      <w:r>
        <w:rPr>
          <w:rFonts w:hint="default" w:ascii="Times New Roman" w:hAnsi="Times New Roman" w:eastAsia="仿宋_GB2312" w:cs="Times New Roman"/>
          <w:kern w:val="0"/>
          <w:sz w:val="32"/>
          <w:szCs w:val="32"/>
          <w:highlight w:val="none"/>
        </w:rPr>
        <w:t>年</w:t>
      </w:r>
      <w:r>
        <w:rPr>
          <w:rFonts w:hint="eastAsia" w:eastAsia="仿宋_GB2312" w:cs="Times New Roman"/>
          <w:kern w:val="0"/>
          <w:sz w:val="32"/>
          <w:szCs w:val="32"/>
          <w:highlight w:val="none"/>
          <w:lang w:val="en-US" w:eastAsia="zh-CN"/>
        </w:rPr>
        <w:t>5</w:t>
      </w:r>
      <w:r>
        <w:rPr>
          <w:rFonts w:hint="default" w:ascii="Times New Roman" w:hAnsi="Times New Roman" w:eastAsia="仿宋_GB2312" w:cs="Times New Roman"/>
          <w:kern w:val="0"/>
          <w:sz w:val="32"/>
          <w:szCs w:val="32"/>
          <w:highlight w:val="none"/>
        </w:rPr>
        <w:t>月</w:t>
      </w:r>
      <w:r>
        <w:rPr>
          <w:rFonts w:hint="eastAsia" w:eastAsia="仿宋_GB2312" w:cs="Times New Roman"/>
          <w:kern w:val="0"/>
          <w:sz w:val="32"/>
          <w:szCs w:val="32"/>
          <w:highlight w:val="none"/>
          <w:lang w:val="en-US" w:eastAsia="zh-CN"/>
        </w:rPr>
        <w:t>9</w:t>
      </w:r>
      <w:r>
        <w:rPr>
          <w:rFonts w:hint="default" w:ascii="Times New Roman" w:hAnsi="Times New Roman" w:eastAsia="仿宋_GB2312" w:cs="Times New Roman"/>
          <w:kern w:val="0"/>
          <w:sz w:val="32"/>
          <w:szCs w:val="32"/>
          <w:highlight w:val="none"/>
        </w:rPr>
        <w:t>日</w:t>
      </w:r>
    </w:p>
    <w:p w14:paraId="38CB0D3A">
      <w:pPr>
        <w:spacing w:line="540" w:lineRule="exact"/>
        <w:jc w:val="center"/>
        <w:rPr>
          <w:rFonts w:hint="default" w:ascii="Times New Roman" w:hAnsi="Times New Roman" w:eastAsia="仿宋_GB2312" w:cs="Times New Roman"/>
          <w:kern w:val="0"/>
          <w:sz w:val="30"/>
          <w:szCs w:val="30"/>
          <w:highlight w:val="none"/>
        </w:rPr>
      </w:pPr>
    </w:p>
    <w:p w14:paraId="19ECD319">
      <w:pPr>
        <w:spacing w:line="540" w:lineRule="exact"/>
        <w:rPr>
          <w:rStyle w:val="16"/>
          <w:rFonts w:hint="default" w:ascii="Times New Roman" w:hAnsi="Times New Roman" w:eastAsia="黑体" w:cs="Times New Roman"/>
          <w:b w:val="0"/>
          <w:spacing w:val="-4"/>
          <w:sz w:val="32"/>
          <w:szCs w:val="32"/>
          <w:highlight w:val="none"/>
        </w:rPr>
      </w:pPr>
    </w:p>
    <w:p w14:paraId="5B6ACF98">
      <w:pPr>
        <w:spacing w:line="560" w:lineRule="exact"/>
        <w:rPr>
          <w:rFonts w:hint="default" w:ascii="Times New Roman" w:hAnsi="Times New Roman" w:eastAsia="黑体" w:cs="Times New Roman"/>
          <w:bCs/>
          <w:sz w:val="32"/>
          <w:szCs w:val="32"/>
          <w:highlight w:val="none"/>
        </w:rPr>
        <w:sectPr>
          <w:pgSz w:w="11906" w:h="16838"/>
          <w:pgMar w:top="2098" w:right="1531" w:bottom="1984" w:left="1531" w:header="851" w:footer="992" w:gutter="0"/>
          <w:cols w:space="720" w:num="1"/>
          <w:docGrid w:type="lines" w:linePitch="312" w:charSpace="0"/>
        </w:sectPr>
      </w:pPr>
    </w:p>
    <w:p w14:paraId="5E775F52">
      <w:pPr>
        <w:spacing w:line="560" w:lineRule="exac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14:paraId="521D2BE1">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14:paraId="3A5BE2F3">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14:paraId="45202BCE">
      <w:pPr>
        <w:spacing w:line="540" w:lineRule="exact"/>
        <w:ind w:firstLine="567"/>
        <w:rPr>
          <w:rStyle w:val="16"/>
          <w:rFonts w:hint="eastAsia" w:ascii="仿宋" w:hAnsi="仿宋" w:eastAsia="仿宋" w:cs="仿宋"/>
          <w:spacing w:val="-4"/>
          <w:sz w:val="32"/>
          <w:szCs w:val="32"/>
          <w:highlight w:val="none"/>
          <w:lang w:eastAsia="zh-CN"/>
        </w:rPr>
      </w:pPr>
      <w:r>
        <w:rPr>
          <w:rStyle w:val="16"/>
          <w:rFonts w:hint="eastAsia" w:ascii="仿宋" w:hAnsi="仿宋" w:eastAsia="仿宋" w:cs="仿宋"/>
          <w:b w:val="0"/>
          <w:bCs w:val="0"/>
          <w:spacing w:val="-4"/>
          <w:sz w:val="32"/>
          <w:szCs w:val="32"/>
          <w:highlight w:val="none"/>
          <w:lang w:val="en-US" w:eastAsia="zh-CN"/>
        </w:rPr>
        <w:t>贯彻落实党中央和国务院的各项决策部署，按照全覆盖、保基本、有弹性、可持续的方针，以增强公平性、适应流动性、保证可持续性为重点，全面推进和不断完善覆盖全体城乡居民的基本养老保险制度，充分发挥社会保险对保障人民基本生活、调节社会收入分配、促进城乡经济社会协调发展的重要作用。</w:t>
      </w:r>
    </w:p>
    <w:p w14:paraId="3946AB93">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highlight w:val="none"/>
        </w:rPr>
      </w:pPr>
      <w:r>
        <w:rPr>
          <w:rFonts w:hint="default" w:ascii="Times New Roman" w:hAnsi="Times New Roman" w:eastAsia="仿宋_GB2312" w:cs="Times New Roman"/>
          <w:kern w:val="2"/>
          <w:highlight w:val="none"/>
          <w:lang w:val="en-US" w:eastAsia="zh-CN"/>
        </w:rPr>
        <w:t>2.</w:t>
      </w:r>
      <w:r>
        <w:rPr>
          <w:rFonts w:hint="default" w:ascii="Times New Roman" w:hAnsi="Times New Roman" w:eastAsia="仿宋_GB2312" w:cs="Times New Roman"/>
          <w:kern w:val="2"/>
          <w:highlight w:val="none"/>
        </w:rPr>
        <w:t>项目主要内容：</w:t>
      </w:r>
    </w:p>
    <w:p w14:paraId="7660DCAA">
      <w:pPr>
        <w:spacing w:line="560" w:lineRule="exact"/>
        <w:ind w:firstLine="600" w:firstLineChars="200"/>
        <w:rPr>
          <w:rFonts w:hint="eastAsia" w:ascii="Times New Roman" w:hAnsi="Times New Roman" w:eastAsia="仿宋" w:cs="Times New Roman"/>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r>
        <w:rPr>
          <w:rStyle w:val="16"/>
          <w:rFonts w:hint="eastAsia" w:ascii="仿宋" w:hAnsi="仿宋" w:eastAsia="仿宋" w:cs="仿宋"/>
          <w:b w:val="0"/>
          <w:bCs w:val="0"/>
          <w:spacing w:val="-4"/>
          <w:sz w:val="32"/>
          <w:szCs w:val="32"/>
          <w:highlight w:val="none"/>
        </w:rPr>
        <w:t>城乡居民养老保险是年满16周岁（不含在校学生），非国家机关和事业单位工作人员及不属于职工基本养老保险制度覆盖范围的城乡居民，可以在户籍地参加城乡居民养老保险。城乡居民养老保险是未参保企业养老、职工养老、等其他养老保险的年满60岁的居民享受的养老生活补贴</w:t>
      </w:r>
      <w:r>
        <w:rPr>
          <w:rStyle w:val="16"/>
          <w:rFonts w:hint="eastAsia" w:ascii="仿宋" w:hAnsi="仿宋" w:eastAsia="仿宋" w:cs="仿宋"/>
          <w:b w:val="0"/>
          <w:bCs w:val="0"/>
          <w:spacing w:val="-4"/>
          <w:sz w:val="32"/>
          <w:szCs w:val="32"/>
          <w:highlight w:val="none"/>
          <w:lang w:eastAsia="zh-CN"/>
        </w:rPr>
        <w:t>。</w:t>
      </w:r>
    </w:p>
    <w:p w14:paraId="0AC93942">
      <w:pPr>
        <w:spacing w:line="560" w:lineRule="exact"/>
        <w:ind w:firstLine="640" w:firstLineChars="200"/>
        <w:rPr>
          <w:rFonts w:hint="default" w:ascii="Times New Roman" w:hAnsi="Times New Roman" w:eastAsia="仿宋" w:cs="Times New Roman"/>
          <w:highlight w:val="none"/>
          <w:lang w:val="en-US" w:eastAsia="zh-CN"/>
        </w:rPr>
      </w:pPr>
      <w:r>
        <w:rPr>
          <w:rFonts w:hint="default" w:ascii="Times New Roman" w:hAnsi="Times New Roman" w:eastAsia="仿宋_GB2312" w:cs="Times New Roman"/>
          <w:sz w:val="32"/>
          <w:szCs w:val="32"/>
          <w:highlight w:val="none"/>
        </w:rPr>
        <w:t>项目实施情况：</w:t>
      </w:r>
      <w:r>
        <w:rPr>
          <w:rStyle w:val="16"/>
          <w:rFonts w:ascii="仿宋" w:hAnsi="仿宋" w:eastAsia="仿宋"/>
          <w:b w:val="0"/>
          <w:spacing w:val="-4"/>
          <w:sz w:val="32"/>
          <w:szCs w:val="32"/>
          <w:highlight w:val="none"/>
        </w:rPr>
        <w:t>20</w:t>
      </w:r>
      <w:r>
        <w:rPr>
          <w:rStyle w:val="16"/>
          <w:rFonts w:hint="eastAsia" w:ascii="仿宋" w:hAnsi="仿宋" w:eastAsia="仿宋"/>
          <w:b w:val="0"/>
          <w:spacing w:val="-4"/>
          <w:sz w:val="32"/>
          <w:szCs w:val="32"/>
          <w:highlight w:val="none"/>
          <w:lang w:val="en-US" w:eastAsia="zh-CN"/>
        </w:rPr>
        <w:t>24</w:t>
      </w:r>
      <w:r>
        <w:rPr>
          <w:rStyle w:val="16"/>
          <w:rFonts w:hint="eastAsia" w:ascii="仿宋" w:hAnsi="仿宋" w:eastAsia="仿宋"/>
          <w:b w:val="0"/>
          <w:spacing w:val="-4"/>
          <w:sz w:val="32"/>
          <w:szCs w:val="32"/>
          <w:highlight w:val="none"/>
        </w:rPr>
        <w:t>年累计发放城乡居民养老待遇人员有</w:t>
      </w:r>
      <w:r>
        <w:rPr>
          <w:rStyle w:val="16"/>
          <w:rFonts w:hint="eastAsia" w:ascii="仿宋" w:hAnsi="仿宋" w:eastAsia="仿宋"/>
          <w:b w:val="0"/>
          <w:spacing w:val="-4"/>
          <w:sz w:val="32"/>
          <w:szCs w:val="32"/>
          <w:highlight w:val="none"/>
          <w:lang w:val="en-US" w:eastAsia="zh-CN"/>
        </w:rPr>
        <w:t>11399人</w:t>
      </w:r>
      <w:r>
        <w:rPr>
          <w:rStyle w:val="16"/>
          <w:rFonts w:hint="eastAsia" w:ascii="仿宋" w:hAnsi="仿宋" w:eastAsia="仿宋"/>
          <w:b w:val="0"/>
          <w:spacing w:val="-4"/>
          <w:sz w:val="32"/>
          <w:szCs w:val="32"/>
          <w:highlight w:val="none"/>
        </w:rPr>
        <w:t>，每人每月享受基础性养老金</w:t>
      </w:r>
      <w:r>
        <w:rPr>
          <w:rStyle w:val="16"/>
          <w:rFonts w:hint="eastAsia" w:ascii="仿宋" w:hAnsi="仿宋" w:eastAsia="仿宋"/>
          <w:b w:val="0"/>
          <w:spacing w:val="-4"/>
          <w:sz w:val="32"/>
          <w:szCs w:val="32"/>
          <w:highlight w:val="none"/>
          <w:lang w:val="en-US" w:eastAsia="zh-CN"/>
        </w:rPr>
        <w:t>200</w:t>
      </w:r>
      <w:r>
        <w:rPr>
          <w:rStyle w:val="16"/>
          <w:rFonts w:hint="eastAsia" w:ascii="仿宋" w:hAnsi="仿宋" w:eastAsia="仿宋"/>
          <w:b w:val="0"/>
          <w:spacing w:val="-4"/>
          <w:sz w:val="32"/>
          <w:szCs w:val="32"/>
          <w:highlight w:val="none"/>
        </w:rPr>
        <w:t>元，按月发放的养老补贴</w:t>
      </w:r>
      <w:r>
        <w:rPr>
          <w:rStyle w:val="16"/>
          <w:rFonts w:hint="eastAsia" w:ascii="仿宋" w:hAnsi="仿宋" w:eastAsia="仿宋"/>
          <w:b w:val="0"/>
          <w:spacing w:val="-4"/>
          <w:sz w:val="32"/>
          <w:szCs w:val="32"/>
          <w:highlight w:val="none"/>
          <w:lang w:eastAsia="zh-CN"/>
        </w:rPr>
        <w:t>，</w:t>
      </w:r>
      <w:r>
        <w:rPr>
          <w:rStyle w:val="16"/>
          <w:rFonts w:hint="eastAsia" w:ascii="仿宋" w:hAnsi="仿宋" w:eastAsia="仿宋"/>
          <w:b w:val="0"/>
          <w:spacing w:val="-4"/>
          <w:sz w:val="32"/>
          <w:szCs w:val="32"/>
          <w:highlight w:val="none"/>
        </w:rPr>
        <w:t>参保城乡居民养老保险年满</w:t>
      </w:r>
      <w:r>
        <w:rPr>
          <w:rStyle w:val="16"/>
          <w:rFonts w:ascii="仿宋" w:hAnsi="仿宋" w:eastAsia="仿宋"/>
          <w:b w:val="0"/>
          <w:spacing w:val="-4"/>
          <w:sz w:val="32"/>
          <w:szCs w:val="32"/>
          <w:highlight w:val="none"/>
        </w:rPr>
        <w:t>60</w:t>
      </w:r>
      <w:r>
        <w:rPr>
          <w:rStyle w:val="16"/>
          <w:rFonts w:hint="eastAsia" w:ascii="仿宋" w:hAnsi="仿宋" w:eastAsia="仿宋"/>
          <w:b w:val="0"/>
          <w:spacing w:val="-4"/>
          <w:sz w:val="32"/>
          <w:szCs w:val="32"/>
          <w:highlight w:val="none"/>
        </w:rPr>
        <w:t>岁所有居民享受的养老补贴</w:t>
      </w:r>
      <w:r>
        <w:rPr>
          <w:rStyle w:val="16"/>
          <w:rFonts w:hint="eastAsia" w:ascii="仿宋" w:hAnsi="仿宋" w:eastAsia="仿宋"/>
          <w:b w:val="0"/>
          <w:spacing w:val="-4"/>
          <w:sz w:val="32"/>
          <w:szCs w:val="32"/>
          <w:highlight w:val="none"/>
          <w:lang w:eastAsia="zh-CN"/>
        </w:rPr>
        <w:t>。</w:t>
      </w:r>
      <w:r>
        <w:rPr>
          <w:rStyle w:val="16"/>
          <w:rFonts w:hint="eastAsia" w:ascii="仿宋" w:hAnsi="仿宋" w:eastAsia="仿宋"/>
          <w:b w:val="0"/>
          <w:spacing w:val="-4"/>
          <w:sz w:val="32"/>
          <w:szCs w:val="32"/>
          <w:highlight w:val="none"/>
          <w:lang w:val="en-US" w:eastAsia="zh-CN"/>
        </w:rPr>
        <w:t>全年为46399参保缴费人员给予缴费补助，发放和缴费补助全年执行1985万。</w:t>
      </w:r>
    </w:p>
    <w:p w14:paraId="0F619522">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7B1EF0F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EFE798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1571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1985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6E3DE92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7F28BF0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1571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1985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1985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11399人的待遇发放和46399参保缴费补助</w:t>
      </w:r>
      <w:r>
        <w:rPr>
          <w:rFonts w:hint="default" w:ascii="Times New Roman" w:hAnsi="Times New Roman" w:eastAsia="仿宋_GB2312" w:cs="Times New Roman"/>
          <w:sz w:val="32"/>
          <w:szCs w:val="32"/>
          <w:highlight w:val="none"/>
          <w:lang w:val="en-US" w:eastAsia="zh-CN"/>
        </w:rPr>
        <w:t>。</w:t>
      </w:r>
    </w:p>
    <w:p w14:paraId="101BAAFD">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14:paraId="76EA554E">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总体目标</w:t>
      </w:r>
    </w:p>
    <w:p w14:paraId="34C82D69">
      <w:pPr>
        <w:numPr>
          <w:ilvl w:val="0"/>
          <w:numId w:val="0"/>
        </w:num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2024</w:t>
      </w:r>
      <w:r>
        <w:rPr>
          <w:rFonts w:hint="default" w:ascii="Times New Roman" w:hAnsi="Times New Roman" w:eastAsia="仿宋_GB2312" w:cs="Times New Roman"/>
          <w:b w:val="0"/>
          <w:bCs w:val="0"/>
          <w:kern w:val="2"/>
          <w:sz w:val="32"/>
          <w:szCs w:val="32"/>
          <w:highlight w:val="none"/>
          <w:lang w:val="en-US" w:eastAsia="zh-CN" w:bidi="ar-SA"/>
        </w:rPr>
        <w:t>年实际完成城乡养老缴费参保人数达46939人，领取待遇人数11399人，保障参保人员待遇按时足额发放，做到“老有所养”，提高了退休人员的生活水平。</w:t>
      </w:r>
    </w:p>
    <w:p w14:paraId="66982E47">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阶段性目标</w:t>
      </w:r>
    </w:p>
    <w:p w14:paraId="472222D3">
      <w:pPr>
        <w:numPr>
          <w:ilvl w:val="0"/>
          <w:numId w:val="0"/>
        </w:num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一季度财政拨付496万元，对32033人次的待遇发放予以补助，对15240参保缴费人员予以缴费补助；二季度财政拨付497万元，对32845人次的待遇发放予以补助；对17421参保缴费人员予以缴费补助；三季度财政拨付496万元，对33540人次的待遇发放予以补助，对11313参保缴费人员予以缴费补助；四季度财政拨付496万元，对34131人次的待遇发放予以补助，对2965参保缴费人员予以缴费补助。</w:t>
      </w:r>
    </w:p>
    <w:p w14:paraId="67CB3C13">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14:paraId="31B34D73">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14:paraId="39E7F03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377665A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757FC24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14:paraId="1AF657B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71FFCC6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45E470E">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68256B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AF917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230E26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通过对项目预算执行情况及各项绩效目标达成程度的系统性分析，全面、客观地评估项目在预定周期内的实施效果，包括社会效益指标，为项目后续的改进与优化提供科学依据。</w:t>
      </w:r>
    </w:p>
    <w:p w14:paraId="09B250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DA195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CD033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4C4CF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18A73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FD5B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1B8A07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685476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56DA4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4FE63ABC">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05C3D4E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2024年财政城乡居民基本养老保险资金</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特克斯县社会保险管理局</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val="en-US" w:eastAsia="zh-CN"/>
        </w:rPr>
        <w:t>2024</w:t>
      </w:r>
      <w:r>
        <w:rPr>
          <w:rFonts w:hint="default" w:ascii="Times New Roman" w:hAnsi="Times New Roman" w:eastAsia="仿宋_GB2312" w:cs="Times New Roman"/>
          <w:b w:val="0"/>
          <w:bCs w:val="0"/>
          <w:highlight w:val="none"/>
        </w:rPr>
        <w:t>年实际完成城乡养老缴费参保人数达46939人，领取待遇人数11399人，保障参保人员待遇按时足额发放，做到“老有所养”，提高了退休人员的生活水平。项目预算涵盖从</w:t>
      </w:r>
      <w:r>
        <w:rPr>
          <w:rFonts w:hint="eastAsia" w:ascii="Times New Roman" w:hAnsi="Times New Roman" w:eastAsia="仿宋_GB2312" w:cs="Times New Roman"/>
          <w:b w:val="0"/>
          <w:bCs w:val="0"/>
          <w:highlight w:val="none"/>
          <w:lang w:val="en-US" w:eastAsia="zh-CN"/>
        </w:rPr>
        <w:t>2024年1月日至2024年11月</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1985</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4B0D8B76">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483580E3">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2D6034B7">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7E07B7FC">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5F258923">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B70F2AB">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社会影响：考察项目对社会的综合影响。</w:t>
      </w:r>
    </w:p>
    <w:p w14:paraId="56F0F19D">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14:paraId="61AD724F">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14:paraId="0030964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14:paraId="1E070A5F">
      <w:pPr>
        <w:pStyle w:val="10"/>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14:paraId="63D28973">
      <w:pPr>
        <w:pStyle w:val="10"/>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5F9B0E02">
      <w:pPr>
        <w:pStyle w:val="10"/>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14:paraId="3E928C57">
      <w:pPr>
        <w:pStyle w:val="10"/>
        <w:keepNext w:val="0"/>
        <w:keepLines w:val="0"/>
        <w:pageBreakBefore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14:paraId="432A0D77">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评价指标体系</w:t>
      </w:r>
    </w:p>
    <w:p w14:paraId="478136E6">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17F4217A">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14:paraId="10FEC185">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0D6FF2E7">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14:paraId="6CB3A59B">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FF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346B8DC2">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14:paraId="5F71D7B4">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5887DFC8">
      <w:pPr>
        <w:pStyle w:val="10"/>
        <w:keepNext w:val="0"/>
        <w:keepLines w:val="0"/>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绩效评价总分值100分，根据综合评分结果，90（含）-100分为优。</w:t>
      </w:r>
    </w:p>
    <w:p w14:paraId="4720D98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708" w:firstLineChars="200"/>
        <w:jc w:val="both"/>
        <w:textAlignment w:val="auto"/>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14:paraId="49184E34">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14:paraId="4B25CBD8">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77964B66">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1794167A">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r>
        <w:rPr>
          <w:rFonts w:hint="eastAsia" w:eastAsia="仿宋_GB2312" w:cs="Times New Roman"/>
          <w:color w:val="000000"/>
          <w:spacing w:val="17"/>
          <w:sz w:val="32"/>
          <w:szCs w:val="32"/>
          <w:highlight w:val="none"/>
          <w:lang w:val="en-US" w:eastAsia="zh-CN"/>
        </w:rPr>
        <w:t>选择该方法主要是为了</w:t>
      </w:r>
      <w:r>
        <w:rPr>
          <w:rFonts w:hint="default" w:ascii="Times New Roman" w:hAnsi="Times New Roman" w:eastAsia="仿宋_GB2312" w:cs="Times New Roman"/>
          <w:color w:val="000000"/>
          <w:spacing w:val="17"/>
          <w:sz w:val="32"/>
          <w:szCs w:val="32"/>
          <w:highlight w:val="none"/>
        </w:rPr>
        <w:t>量化评估</w:t>
      </w:r>
      <w:r>
        <w:rPr>
          <w:rFonts w:hint="eastAsia"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rPr>
        <w:t>直观地展现项目的经济可行性，便于准确了解项目的投入产出情况。通过计算成本效益比率等指标，为方案选优提供明确依据。</w:t>
      </w:r>
    </w:p>
    <w:p w14:paraId="1637E68C">
      <w:pPr>
        <w:keepNext w:val="0"/>
        <w:keepLines w:val="0"/>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（二）因素分析法。是指综合分析影响绩效目标实现、实施效果的内外部因素的方法。</w:t>
      </w:r>
      <w:r>
        <w:rPr>
          <w:rFonts w:hint="eastAsia" w:eastAsia="仿宋_GB2312" w:cs="Times New Roman"/>
          <w:color w:val="000000"/>
          <w:spacing w:val="17"/>
          <w:sz w:val="32"/>
          <w:szCs w:val="32"/>
          <w:highlight w:val="none"/>
          <w:lang w:val="en-US" w:eastAsia="zh-CN"/>
        </w:rPr>
        <w:t>选择该方法主要是</w:t>
      </w:r>
      <w:r>
        <w:rPr>
          <w:rFonts w:hint="default" w:ascii="Times New Roman" w:hAnsi="Times New Roman" w:eastAsia="仿宋_GB2312" w:cs="Times New Roman"/>
          <w:color w:val="000000"/>
          <w:spacing w:val="17"/>
          <w:sz w:val="32"/>
          <w:szCs w:val="32"/>
          <w:highlight w:val="none"/>
        </w:rPr>
        <w:t>综合考虑多因素影响</w:t>
      </w:r>
      <w:r>
        <w:rPr>
          <w:rFonts w:hint="eastAsia"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rPr>
        <w:t>项目受多种因素制约，因素分析法可全面考量这些因素，包括经济、技术、环境、社会等，避免仅关注单一因素的片面性。不仅能识别关键影响因素，还能剖析各因素间的相互作用和影响程度，有助于更深入、全面地把握项目的整体情况。</w:t>
      </w:r>
    </w:p>
    <w:p w14:paraId="0C363BB4">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00C5207E">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预算支出标准</w:t>
      </w:r>
      <w:r>
        <w:rPr>
          <w:rFonts w:hint="default" w:ascii="Times New Roman" w:hAnsi="Times New Roman" w:eastAsia="仿宋_GB2312" w:cs="Times New Roman"/>
          <w:b w:val="0"/>
          <w:bCs w:val="0"/>
          <w:highlight w:val="none"/>
        </w:rPr>
        <w:t>。</w:t>
      </w:r>
    </w:p>
    <w:p w14:paraId="3E68B11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r>
        <w:rPr>
          <w:rFonts w:hint="eastAsia" w:ascii="Times New Roman" w:hAnsi="Times New Roman" w:eastAsia="仿宋_GB2312" w:cs="Times New Roman"/>
          <w:b w:val="0"/>
          <w:bCs w:val="0"/>
          <w:highlight w:val="none"/>
          <w:lang w:val="en-US" w:eastAsia="zh-CN"/>
        </w:rPr>
        <w:t>选择计划标准，主要是为了</w:t>
      </w:r>
      <w:r>
        <w:rPr>
          <w:rFonts w:hint="default" w:ascii="Times New Roman" w:hAnsi="Times New Roman" w:eastAsia="仿宋_GB2312" w:cs="Times New Roman"/>
          <w:b w:val="0"/>
          <w:bCs w:val="0"/>
          <w:highlight w:val="none"/>
        </w:rPr>
        <w:t>明确目标导向</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计划标准是项目预期要达成的目标和指标，为项目评价提供了清晰的方向。它明确了项目在特定时间内需要完成的任务、达到的质量水平等，使评价能够围绕既定目标进行，确保项目不偏离预定轨道。</w:t>
      </w:r>
    </w:p>
    <w:p w14:paraId="5E4B8F9F">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2</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预算支出</w:t>
      </w:r>
      <w:r>
        <w:rPr>
          <w:rFonts w:hint="default" w:ascii="Times New Roman" w:hAnsi="Times New Roman" w:eastAsia="仿宋_GB2312" w:cs="Times New Roman"/>
          <w:b w:val="0"/>
          <w:bCs w:val="0"/>
          <w:highlight w:val="none"/>
        </w:rPr>
        <w:t>标准。指参照国家公布的行业指标数据制定的评价标准。</w:t>
      </w:r>
      <w:r>
        <w:rPr>
          <w:rFonts w:hint="eastAsia" w:ascii="Times New Roman" w:hAnsi="Times New Roman" w:eastAsia="仿宋_GB2312" w:cs="Times New Roman"/>
          <w:b w:val="0"/>
          <w:bCs w:val="0"/>
          <w:highlight w:val="none"/>
          <w:lang w:val="en-US" w:eastAsia="zh-CN"/>
        </w:rPr>
        <w:t>选择</w:t>
      </w:r>
      <w:r>
        <w:rPr>
          <w:rFonts w:hint="default" w:ascii="Times New Roman" w:hAnsi="Times New Roman" w:eastAsia="仿宋_GB2312" w:cs="Times New Roman"/>
          <w:b w:val="0"/>
          <w:bCs w:val="0"/>
          <w:highlight w:val="none"/>
        </w:rPr>
        <w:t>预算支出标准</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主要是为了</w:t>
      </w:r>
      <w:r>
        <w:rPr>
          <w:rFonts w:hint="default" w:ascii="Times New Roman" w:hAnsi="Times New Roman" w:eastAsia="仿宋_GB2312" w:cs="Times New Roman"/>
          <w:b w:val="0"/>
          <w:bCs w:val="0"/>
          <w:highlight w:val="none"/>
        </w:rPr>
        <w:t>规定项目各项活动的资金使用范围和额度，能防止项目超支，确保资金合理分配和使用，保障项目在财务上的可行性。</w:t>
      </w:r>
    </w:p>
    <w:p w14:paraId="2DA7C588">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14:paraId="056D3B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99E9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706619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69E51E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355565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196B4D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1FEBAB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6FE528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50B14B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3AB8B6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46E8A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0AA6EE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364D3D7">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71F3BB59">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539B7C51">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本项目的综合评价基于对项目各方面绩效的深入分析与评估。从项目目标的达成情况来看，财政城乡居民基本养老保险资金</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在城乡居民养老缴费参保</w:t>
      </w:r>
      <w:r>
        <w:rPr>
          <w:rFonts w:hint="eastAsia" w:eastAsia="仿宋_GB2312" w:cs="Times New Roman"/>
          <w:sz w:val="32"/>
          <w:szCs w:val="32"/>
          <w:highlight w:val="none"/>
          <w:lang w:val="en-US" w:eastAsia="zh-CN"/>
        </w:rPr>
        <w:t>目标</w:t>
      </w:r>
      <w:r>
        <w:rPr>
          <w:rFonts w:hint="default" w:ascii="Times New Roman" w:hAnsi="Times New Roman" w:eastAsia="仿宋_GB2312" w:cs="Times New Roman"/>
          <w:sz w:val="32"/>
          <w:szCs w:val="32"/>
          <w:highlight w:val="none"/>
        </w:rPr>
        <w:t>人数</w:t>
      </w:r>
      <w:r>
        <w:rPr>
          <w:rFonts w:hint="eastAsia" w:eastAsia="仿宋_GB2312" w:cs="Times New Roman"/>
          <w:sz w:val="32"/>
          <w:szCs w:val="32"/>
          <w:highlight w:val="none"/>
          <w:lang w:val="en-US" w:eastAsia="zh-CN"/>
        </w:rPr>
        <w:t>52433人，实际完成46939人；</w:t>
      </w:r>
      <w:r>
        <w:rPr>
          <w:rFonts w:hint="default" w:ascii="Times New Roman" w:hAnsi="Times New Roman" w:eastAsia="仿宋_GB2312" w:cs="Times New Roman"/>
          <w:sz w:val="32"/>
          <w:szCs w:val="32"/>
          <w:highlight w:val="none"/>
        </w:rPr>
        <w:t>城乡居民养老保险</w:t>
      </w:r>
      <w:r>
        <w:rPr>
          <w:rFonts w:hint="eastAsia" w:eastAsia="仿宋_GB2312" w:cs="Times New Roman"/>
          <w:sz w:val="32"/>
          <w:szCs w:val="32"/>
          <w:highlight w:val="none"/>
          <w:lang w:val="en-US" w:eastAsia="zh-CN"/>
        </w:rPr>
        <w:t>发放</w:t>
      </w:r>
      <w:r>
        <w:rPr>
          <w:rFonts w:hint="default" w:ascii="Times New Roman" w:hAnsi="Times New Roman" w:eastAsia="仿宋_GB2312" w:cs="Times New Roman"/>
          <w:sz w:val="32"/>
          <w:szCs w:val="32"/>
          <w:highlight w:val="none"/>
        </w:rPr>
        <w:t>待遇</w:t>
      </w:r>
      <w:r>
        <w:rPr>
          <w:rFonts w:hint="eastAsia" w:eastAsia="仿宋_GB2312" w:cs="Times New Roman"/>
          <w:sz w:val="32"/>
          <w:szCs w:val="32"/>
          <w:highlight w:val="none"/>
          <w:lang w:val="en-US" w:eastAsia="zh-CN"/>
        </w:rPr>
        <w:t>目标</w:t>
      </w:r>
      <w:r>
        <w:rPr>
          <w:rFonts w:hint="default" w:ascii="Times New Roman" w:hAnsi="Times New Roman" w:eastAsia="仿宋_GB2312" w:cs="Times New Roman"/>
          <w:sz w:val="32"/>
          <w:szCs w:val="32"/>
          <w:highlight w:val="none"/>
        </w:rPr>
        <w:t>人数</w:t>
      </w:r>
      <w:r>
        <w:rPr>
          <w:rFonts w:hint="eastAsia" w:eastAsia="仿宋_GB2312" w:cs="Times New Roman"/>
          <w:sz w:val="32"/>
          <w:szCs w:val="32"/>
          <w:highlight w:val="none"/>
          <w:lang w:val="en-US" w:eastAsia="zh-CN"/>
        </w:rPr>
        <w:t>11272，实际完成11399人，参保缴费未</w:t>
      </w:r>
      <w:r>
        <w:rPr>
          <w:rFonts w:hint="default" w:ascii="Times New Roman" w:hAnsi="Times New Roman" w:eastAsia="仿宋_GB2312" w:cs="Times New Roman"/>
          <w:sz w:val="32"/>
          <w:szCs w:val="32"/>
          <w:highlight w:val="none"/>
        </w:rPr>
        <w:t>达到预期的标准与要求。在项目管理方面，</w:t>
      </w:r>
      <w:r>
        <w:rPr>
          <w:rFonts w:hint="eastAsia" w:eastAsia="仿宋_GB2312" w:cs="Times New Roman"/>
          <w:sz w:val="32"/>
          <w:szCs w:val="32"/>
          <w:highlight w:val="none"/>
          <w:lang w:val="en-US" w:eastAsia="zh-CN"/>
        </w:rPr>
        <w:t>特克斯县社会保险管理局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5ACB4300">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从项目效益的角度来看，本项目不仅实现了预期的社会效益产生了积极的影响，</w:t>
      </w:r>
      <w:r>
        <w:rPr>
          <w:rFonts w:hint="eastAsia" w:eastAsia="仿宋_GB2312" w:cs="Times New Roman"/>
          <w:sz w:val="32"/>
          <w:szCs w:val="32"/>
          <w:highlight w:val="none"/>
          <w:lang w:val="en-US" w:eastAsia="zh-CN"/>
        </w:rPr>
        <w:t>提高了城乡居民养老保障水平</w:t>
      </w:r>
      <w:r>
        <w:rPr>
          <w:rFonts w:hint="default" w:ascii="Times New Roman" w:hAnsi="Times New Roman" w:eastAsia="仿宋_GB2312" w:cs="Times New Roman"/>
          <w:sz w:val="32"/>
          <w:szCs w:val="32"/>
          <w:highlight w:val="none"/>
        </w:rPr>
        <w:t>，为项目的利益相关者带来了实实在在的利益。</w:t>
      </w:r>
    </w:p>
    <w:p w14:paraId="25E11727">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综上所述，财政城乡居民基本养老保险资金在绩效评价中表现出色，达到了项目的预期目标，并在多个方面取得了显著的成效。</w:t>
      </w:r>
    </w:p>
    <w:p w14:paraId="72A4F284">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4551ACE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highlight w:val="none"/>
          <w:lang w:val="en-US" w:eastAsia="zh-CN"/>
        </w:rPr>
        <w:t>92.87</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32.87</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82.18</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19BEF2E5">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787D5F5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noWrap w:val="0"/>
            <w:vAlign w:val="center"/>
          </w:tcPr>
          <w:p w14:paraId="7C57557B">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noWrap w:val="0"/>
            <w:vAlign w:val="center"/>
          </w:tcPr>
          <w:p w14:paraId="3E5D428B">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noWrap w:val="0"/>
            <w:vAlign w:val="center"/>
          </w:tcPr>
          <w:p w14:paraId="5F5D8511">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14:paraId="2E439EF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697FAF36">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noWrap w:val="0"/>
            <w:vAlign w:val="center"/>
          </w:tcPr>
          <w:p w14:paraId="5783E292">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noWrap w:val="0"/>
            <w:vAlign w:val="center"/>
          </w:tcPr>
          <w:p w14:paraId="6A109BBC">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14:paraId="7430080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1412D79D">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noWrap w:val="0"/>
            <w:vAlign w:val="center"/>
          </w:tcPr>
          <w:p w14:paraId="5E8882A1">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noWrap w:val="0"/>
            <w:vAlign w:val="center"/>
          </w:tcPr>
          <w:p w14:paraId="60B0D652">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14:paraId="30206FC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4448267F">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noWrap w:val="0"/>
            <w:vAlign w:val="center"/>
          </w:tcPr>
          <w:p w14:paraId="03E2EC42">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noWrap w:val="0"/>
            <w:vAlign w:val="center"/>
          </w:tcPr>
          <w:p w14:paraId="12676BC2">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32.87</w:t>
            </w:r>
          </w:p>
        </w:tc>
      </w:tr>
      <w:tr w14:paraId="41CBF15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7A065EC6">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noWrap w:val="0"/>
            <w:vAlign w:val="center"/>
          </w:tcPr>
          <w:p w14:paraId="203DF3EE">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noWrap w:val="0"/>
            <w:vAlign w:val="center"/>
          </w:tcPr>
          <w:p w14:paraId="4FD6B00F">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14:paraId="3A72FE9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757228F9">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noWrap w:val="0"/>
            <w:vAlign w:val="center"/>
          </w:tcPr>
          <w:p w14:paraId="792948C1">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noWrap w:val="0"/>
            <w:vAlign w:val="center"/>
          </w:tcPr>
          <w:p w14:paraId="518E8142">
            <w:pPr>
              <w:jc w:val="center"/>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92.87</w:t>
            </w:r>
          </w:p>
        </w:tc>
      </w:tr>
    </w:tbl>
    <w:p w14:paraId="053933AD">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14:paraId="608CF1D6">
      <w:pPr>
        <w:pStyle w:val="10"/>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14:paraId="68AD44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335E659">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14:paraId="74EB27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14:paraId="5E0172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D9046C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14:paraId="5C27D23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A14F6C9">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14:paraId="004EFF1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14:paraId="592A71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Han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eastAsia="zh-Han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D46FA8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14:paraId="10A9C8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6990F5BA">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14:paraId="30A3306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4D0CA3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3A7301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3849B69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B2438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A94B5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4D1451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D7A07DC">
      <w:pPr>
        <w:pStyle w:val="10"/>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6F44792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66B019D">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0FE031A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20A973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1985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6316D5B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715FEC0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1985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2E7D5F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43D48F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13BD16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7647EF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07F0C58F">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479689C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71E22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69AA3A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45EA91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23337BA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76D1B4D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6C5599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14:paraId="39ADDC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BB47B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14:paraId="785DA824">
      <w:pPr>
        <w:pStyle w:val="12"/>
        <w:numPr>
          <w:ilvl w:val="0"/>
          <w:numId w:val="4"/>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62DE888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39.58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98.95</w:t>
      </w:r>
      <w:r>
        <w:rPr>
          <w:rFonts w:hint="default" w:ascii="Times New Roman" w:hAnsi="Times New Roman" w:eastAsia="仿宋_GB2312" w:cs="Times New Roman"/>
          <w:sz w:val="32"/>
          <w:szCs w:val="32"/>
          <w:highlight w:val="none"/>
          <w:lang w:val="en-US" w:eastAsia="zh-CN"/>
        </w:rPr>
        <w:t>%。具体产出指标完成情况如下：</w:t>
      </w:r>
    </w:p>
    <w:p w14:paraId="7449B28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2D81D20F">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指标1： 城乡居民养老缴费参保人数，指标值：</w:t>
      </w:r>
      <w:r>
        <w:rPr>
          <w:rFonts w:hint="eastAsia" w:ascii="仿宋_GB2312" w:hAnsi="仿宋_GB2312" w:cs="仿宋_GB2312"/>
          <w:kern w:val="0"/>
          <w:sz w:val="32"/>
          <w:szCs w:val="32"/>
          <w:highlight w:val="none"/>
        </w:rPr>
        <w:t>&gt;=</w:t>
      </w:r>
      <w:r>
        <w:rPr>
          <w:rFonts w:hint="eastAsia" w:ascii="仿宋_GB2312" w:hAnsi="仿宋_GB2312" w:cs="仿宋_GB2312"/>
          <w:kern w:val="0"/>
          <w:sz w:val="32"/>
          <w:szCs w:val="32"/>
          <w:highlight w:val="none"/>
          <w:lang w:val="en-US" w:eastAsia="zh-CN"/>
        </w:rPr>
        <w:t>52433</w:t>
      </w:r>
      <w:r>
        <w:rPr>
          <w:rFonts w:hint="eastAsia" w:ascii="仿宋_GB2312" w:hAnsi="仿宋_GB2312" w:cs="仿宋_GB2312"/>
          <w:kern w:val="0"/>
          <w:sz w:val="32"/>
          <w:szCs w:val="32"/>
          <w:highlight w:val="none"/>
        </w:rPr>
        <w:t>人</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46939人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89.52</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2024年新增缴费人数1428人，转入46人，转出231人、在职人员死亡641人、清理暂停和非本地户籍707人,、退休1210人、暂停缴费4444人。改进措施：针对不同群体制定有针对性的宣传内容。例如，对年轻人强调养老保险的长期规划作用，对临近退休人员突出参保对保障晚年生活的重要性。利用社区宣传、线上媒体等多种渠道，提高政策知晓度，简化参保、转移接续等手续，推行线上办理服务，方便居民参保和流动就业人员的保险关系转移，减少转出人数。</w:t>
      </w:r>
    </w:p>
    <w:p w14:paraId="75752512">
      <w:pPr>
        <w:pStyle w:val="2"/>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w:t>
      </w: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 城乡居民养老保险待遇人数</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指标值：</w:t>
      </w:r>
      <w:r>
        <w:rPr>
          <w:rFonts w:hint="eastAsia" w:ascii="Times New Roman" w:hAnsi="Times New Roman" w:eastAsia="仿宋_GB2312" w:cs="Times New Roman"/>
          <w:b w:val="0"/>
          <w:bCs w:val="0"/>
          <w:kern w:val="2"/>
          <w:sz w:val="32"/>
          <w:szCs w:val="32"/>
          <w:highlight w:val="none"/>
          <w:lang w:val="en-US" w:eastAsia="zh-CN" w:bidi="ar-SA"/>
        </w:rPr>
        <w:t>&gt;=11272人</w:t>
      </w:r>
      <w:r>
        <w:rPr>
          <w:rFonts w:hint="default" w:ascii="Times New Roman" w:hAnsi="Times New Roman" w:eastAsia="仿宋_GB2312" w:cs="Times New Roman"/>
          <w:b w:val="0"/>
          <w:bCs w:val="0"/>
          <w:kern w:val="2"/>
          <w:sz w:val="32"/>
          <w:szCs w:val="32"/>
          <w:highlight w:val="none"/>
          <w:lang w:val="en-US" w:eastAsia="zh-CN" w:bidi="ar-SA"/>
        </w:rPr>
        <w:t xml:space="preserve"> ，实际完成值：</w:t>
      </w:r>
      <w:r>
        <w:rPr>
          <w:rFonts w:hint="eastAsia" w:ascii="Times New Roman" w:hAnsi="Times New Roman" w:eastAsia="仿宋_GB2312" w:cs="Times New Roman"/>
          <w:b w:val="0"/>
          <w:bCs w:val="0"/>
          <w:kern w:val="2"/>
          <w:sz w:val="32"/>
          <w:szCs w:val="32"/>
          <w:highlight w:val="none"/>
          <w:lang w:val="en-US" w:eastAsia="zh-CN" w:bidi="ar-SA"/>
        </w:rPr>
        <w:t>11399人</w:t>
      </w:r>
      <w:r>
        <w:rPr>
          <w:rFonts w:hint="default" w:ascii="Times New Roman" w:hAnsi="Times New Roman" w:eastAsia="仿宋_GB2312" w:cs="Times New Roman"/>
          <w:b w:val="0"/>
          <w:bCs w:val="0"/>
          <w:kern w:val="2"/>
          <w:sz w:val="32"/>
          <w:szCs w:val="32"/>
          <w:highlight w:val="none"/>
          <w:lang w:val="en-US" w:eastAsia="zh-CN" w:bidi="ar-SA"/>
        </w:rPr>
        <w:t xml:space="preserve">，指标完成率 </w:t>
      </w:r>
      <w:r>
        <w:rPr>
          <w:rFonts w:hint="eastAsia" w:ascii="Times New Roman" w:hAnsi="Times New Roman" w:eastAsia="仿宋_GB2312" w:cs="Times New Roman"/>
          <w:b w:val="0"/>
          <w:bCs w:val="0"/>
          <w:kern w:val="2"/>
          <w:sz w:val="32"/>
          <w:szCs w:val="32"/>
          <w:highlight w:val="none"/>
          <w:lang w:val="en-US" w:eastAsia="zh-CN" w:bidi="ar-SA"/>
        </w:rPr>
        <w:t>101.12</w:t>
      </w:r>
      <w:r>
        <w:rPr>
          <w:rFonts w:hint="default" w:ascii="Times New Roman" w:hAnsi="Times New Roman" w:eastAsia="仿宋_GB2312" w:cs="Times New Roman"/>
          <w:b w:val="0"/>
          <w:bCs w:val="0"/>
          <w:kern w:val="2"/>
          <w:sz w:val="32"/>
          <w:szCs w:val="32"/>
          <w:highlight w:val="none"/>
          <w:lang w:val="en-US" w:eastAsia="zh-CN" w:bidi="ar-SA"/>
        </w:rPr>
        <w:t xml:space="preserve"> %，偏差原因：新增缴费人员到龄退休人数增加1210人，较上年增幅大，属正常自然增长。改进措施：优化预算编制，在制定下一年度预算时，充分考虑到新增缴费人员到龄退休人数的增长趋势，更精准地预测养老保险待遇支出，确保资金充足。</w:t>
      </w:r>
    </w:p>
    <w:p w14:paraId="74C1A054">
      <w:pPr>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：发放城乡居民养老保险待遇次数</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ascii="仿宋_GB2312" w:hAnsi="仿宋_GB2312" w:cs="仿宋_GB2312"/>
          <w:kern w:val="0"/>
          <w:sz w:val="32"/>
          <w:szCs w:val="32"/>
          <w:highlight w:val="none"/>
        </w:rPr>
        <w:t>=</w:t>
      </w:r>
      <w:r>
        <w:rPr>
          <w:rFonts w:hint="eastAsia" w:ascii="仿宋_GB2312" w:hAnsi="仿宋_GB2312" w:cs="仿宋_GB2312"/>
          <w:kern w:val="0"/>
          <w:sz w:val="32"/>
          <w:szCs w:val="32"/>
          <w:highlight w:val="none"/>
          <w:lang w:val="en-US" w:eastAsia="zh-CN"/>
        </w:rPr>
        <w:t>12次</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 xml:space="preserve">，指标完成率 </w:t>
      </w:r>
      <w:r>
        <w:rPr>
          <w:rFonts w:hint="eastAsia" w:ascii="Times New Roman" w:hAnsi="Times New Roman" w:eastAsia="仿宋_GB2312" w:cs="Times New Roman"/>
          <w:sz w:val="32"/>
          <w:szCs w:val="32"/>
          <w:highlight w:val="none"/>
          <w:lang w:val="en-US" w:eastAsia="zh-CN"/>
        </w:rPr>
        <w:t>10</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 xml:space="preserve"> %</w:t>
      </w:r>
    </w:p>
    <w:p w14:paraId="37CE2828">
      <w:pPr>
        <w:numPr>
          <w:ilvl w:val="0"/>
          <w:numId w:val="0"/>
        </w:numPr>
        <w:spacing w:line="360" w:lineRule="auto"/>
        <w:ind w:firstLine="640" w:firstLineChars="200"/>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2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②</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质量指标：</w:t>
      </w:r>
      <w:r>
        <w:rPr>
          <w:rFonts w:hint="eastAsia" w:ascii="Times New Roman" w:hAnsi="Times New Roman" w:eastAsia="仿宋_GB2312" w:cs="Times New Roman"/>
          <w:b w:val="0"/>
          <w:bCs w:val="0"/>
          <w:kern w:val="2"/>
          <w:sz w:val="32"/>
          <w:szCs w:val="32"/>
          <w:highlight w:val="none"/>
          <w:lang w:val="en-US" w:eastAsia="zh-CN" w:bidi="ar-SA"/>
        </w:rPr>
        <w:t>指标1：待遇发放准确率，指标值：=100%实际完成值100%，指标完成率100%。</w:t>
      </w:r>
    </w:p>
    <w:p w14:paraId="1708C1AA">
      <w:pPr>
        <w:numPr>
          <w:ilvl w:val="0"/>
          <w:numId w:val="0"/>
        </w:numPr>
        <w:spacing w:line="360" w:lineRule="auto"/>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指标2：参保缴费财政补贴到位率，指标值：=100%实际完成值100%，指标完成率100%。</w:t>
      </w:r>
    </w:p>
    <w:p w14:paraId="52DDB924">
      <w:pPr>
        <w:numPr>
          <w:ilvl w:val="0"/>
          <w:numId w:val="0"/>
        </w:numPr>
        <w:spacing w:line="360" w:lineRule="auto"/>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3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③</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时效指标：</w:t>
      </w:r>
      <w:r>
        <w:rPr>
          <w:rFonts w:hint="eastAsia" w:ascii="Times New Roman" w:hAnsi="Times New Roman" w:eastAsia="仿宋_GB2312" w:cs="Times New Roman"/>
          <w:b w:val="0"/>
          <w:bCs w:val="0"/>
          <w:kern w:val="2"/>
          <w:sz w:val="32"/>
          <w:szCs w:val="32"/>
          <w:highlight w:val="none"/>
          <w:lang w:val="en-US" w:eastAsia="zh-CN" w:bidi="ar-SA"/>
        </w:rPr>
        <w:t>指标1：待遇发放及时率，指标值：=100%，实际完成值100%，指标完成率100%。指标2：参保缴费及时率，指标值：=100%，实际完成值100%，指标完成率100%。</w:t>
      </w:r>
    </w:p>
    <w:p w14:paraId="6DBAB6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4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④</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成本指标：</w:t>
      </w:r>
      <w:r>
        <w:rPr>
          <w:rFonts w:hint="eastAsia" w:ascii="Times New Roman" w:hAnsi="Times New Roman" w:eastAsia="仿宋_GB2312" w:cs="Times New Roman"/>
          <w:b w:val="0"/>
          <w:bCs w:val="0"/>
          <w:kern w:val="2"/>
          <w:sz w:val="32"/>
          <w:szCs w:val="32"/>
          <w:highlight w:val="none"/>
          <w:lang w:val="en-US" w:eastAsia="zh-CN" w:bidi="ar-SA"/>
        </w:rPr>
        <w:t>指标1：人均缴费参保补助资金，指标值：&lt;=30元/人，实际完成值33.23元/人，指标完成率110.76%。原因：财政补贴收入提前下达，按照上年决算缴费人数52698人预拨付今年，实际缴费46939人，因此人均补贴大于年度目标值。改进措施：与财政部门密切配合，建立定期信息共享和沟通机制。人社部门及时向财政部门提供参保人数变化趋势、政策调整等相关信息，财政部门根据这些信息合理安排补助资金预算，避免资金预拨与实际情况脱节。根据实际缴费人数动态调整补助资金的拨付，避免按固定人数预拨资金。可建立按月或按季度根据实际缴费人数进行资金结算和拨付的机制，确保补助资金与实际参保情况相匹配。</w:t>
      </w:r>
    </w:p>
    <w:p w14:paraId="704DF4F0">
      <w:pPr>
        <w:pStyle w:val="12"/>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14:paraId="3FC35DB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一</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3726B6BC">
      <w:pPr>
        <w:shd w:val="clear" w:color="auto" w:fill="auto"/>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1.实施效益</w:t>
      </w:r>
    </w:p>
    <w:p w14:paraId="19C334D8">
      <w:pPr>
        <w:shd w:val="clear" w:color="auto" w:fill="auto"/>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fldChar w:fldCharType="begin"/>
      </w:r>
      <w:r>
        <w:rPr>
          <w:rFonts w:hint="default" w:ascii="Times New Roman" w:hAnsi="Times New Roman" w:eastAsia="仿宋_GB2312" w:cs="Times New Roman"/>
          <w:b w:val="0"/>
          <w:bCs w:val="0"/>
          <w:kern w:val="2"/>
          <w:sz w:val="32"/>
          <w:szCs w:val="32"/>
          <w:highlight w:val="none"/>
          <w:lang w:val="en-US" w:eastAsia="zh-CN" w:bidi="ar-SA"/>
        </w:rPr>
        <w:instrText xml:space="preserve"> = 1 \* GB3 </w:instrText>
      </w:r>
      <w:r>
        <w:rPr>
          <w:rFonts w:hint="default" w:ascii="Times New Roman" w:hAnsi="Times New Roman" w:eastAsia="仿宋_GB2312" w:cs="Times New Roman"/>
          <w:b w:val="0"/>
          <w:bCs w:val="0"/>
          <w:kern w:val="2"/>
          <w:sz w:val="32"/>
          <w:szCs w:val="32"/>
          <w:highlight w:val="none"/>
          <w:lang w:val="en-US" w:eastAsia="zh-CN" w:bidi="ar-SA"/>
        </w:rPr>
        <w:fldChar w:fldCharType="separate"/>
      </w:r>
      <w:r>
        <w:rPr>
          <w:rFonts w:hint="default" w:ascii="Times New Roman" w:hAnsi="Times New Roman" w:eastAsia="仿宋_GB2312" w:cs="Times New Roman"/>
          <w:b w:val="0"/>
          <w:bCs w:val="0"/>
          <w:kern w:val="2"/>
          <w:sz w:val="32"/>
          <w:szCs w:val="32"/>
          <w:highlight w:val="none"/>
          <w:lang w:val="en-US" w:eastAsia="zh-CN" w:bidi="ar-SA"/>
        </w:rPr>
        <w:t>①</w:t>
      </w:r>
      <w:r>
        <w:rPr>
          <w:rFonts w:hint="default" w:ascii="Times New Roman" w:hAnsi="Times New Roman" w:eastAsia="仿宋_GB2312" w:cs="Times New Roman"/>
          <w:b w:val="0"/>
          <w:bCs w:val="0"/>
          <w:kern w:val="2"/>
          <w:sz w:val="32"/>
          <w:szCs w:val="32"/>
          <w:highlight w:val="none"/>
          <w:lang w:val="en-US" w:eastAsia="zh-CN" w:bidi="ar-SA"/>
        </w:rPr>
        <w:fldChar w:fldCharType="end"/>
      </w:r>
      <w:r>
        <w:rPr>
          <w:rFonts w:hint="default" w:ascii="Times New Roman" w:hAnsi="Times New Roman" w:eastAsia="仿宋_GB2312" w:cs="Times New Roman"/>
          <w:b w:val="0"/>
          <w:bCs w:val="0"/>
          <w:kern w:val="2"/>
          <w:sz w:val="32"/>
          <w:szCs w:val="32"/>
          <w:highlight w:val="none"/>
          <w:lang w:val="en-US" w:eastAsia="zh-CN" w:bidi="ar-SA"/>
        </w:rPr>
        <w:t>社会效益指标：</w:t>
      </w:r>
    </w:p>
    <w:p w14:paraId="050A5B74">
      <w:pPr>
        <w:shd w:val="clear" w:color="auto" w:fill="auto"/>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指标1：增加退休人员收入，提高生活水平，指标值：效果显著，实际完成值：效果显著，指标完成率100%。</w:t>
      </w:r>
    </w:p>
    <w:p w14:paraId="2D59B86B">
      <w:pPr>
        <w:shd w:val="clear" w:color="auto" w:fill="auto"/>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2.满意度</w:t>
      </w:r>
    </w:p>
    <w:p w14:paraId="1B9F1739">
      <w:pPr>
        <w:shd w:val="clear" w:color="auto" w:fill="auto"/>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指标1：退休人员满意度，指标值：&gt;=96%，实际完成值：96%，指标完成率100%。</w:t>
      </w:r>
    </w:p>
    <w:p w14:paraId="04CC7831">
      <w:pPr>
        <w:pStyle w:val="12"/>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Hans"/>
        </w:rPr>
      </w:pPr>
      <w:r>
        <w:rPr>
          <w:rFonts w:hint="default" w:ascii="Times New Roman" w:hAnsi="Times New Roman" w:eastAsia="楷体_GB2312" w:cs="Times New Roman"/>
          <w:b/>
          <w:bCs/>
          <w:sz w:val="32"/>
          <w:szCs w:val="32"/>
          <w:highlight w:val="none"/>
          <w:lang w:val="en-US" w:eastAsia="zh-Hans"/>
        </w:rPr>
        <w:t>预算执行进度与绩效指标总体完成率偏差</w:t>
      </w:r>
    </w:p>
    <w:p w14:paraId="7D1166E5">
      <w:pPr>
        <w:shd w:val="clear" w:color="auto" w:fill="auto"/>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财政城乡居民基本养老保险资金项目年初预算</w:t>
      </w:r>
      <w:r>
        <w:rPr>
          <w:rFonts w:hint="eastAsia" w:ascii="Times New Roman" w:hAnsi="Times New Roman" w:eastAsia="仿宋_GB2312" w:cs="Times New Roman"/>
          <w:b w:val="0"/>
          <w:bCs w:val="0"/>
          <w:kern w:val="2"/>
          <w:sz w:val="32"/>
          <w:szCs w:val="32"/>
          <w:highlight w:val="none"/>
          <w:lang w:val="en-US" w:eastAsia="zh-CN" w:bidi="ar-SA"/>
        </w:rPr>
        <w:t>1985</w:t>
      </w:r>
      <w:r>
        <w:rPr>
          <w:rFonts w:hint="default" w:ascii="Times New Roman" w:hAnsi="Times New Roman" w:eastAsia="仿宋_GB2312" w:cs="Times New Roman"/>
          <w:b w:val="0"/>
          <w:bCs w:val="0"/>
          <w:kern w:val="2"/>
          <w:sz w:val="32"/>
          <w:szCs w:val="32"/>
          <w:highlight w:val="none"/>
          <w:lang w:val="en-US" w:eastAsia="zh-CN" w:bidi="ar-SA"/>
        </w:rPr>
        <w:t>万元，全年预算</w:t>
      </w:r>
      <w:r>
        <w:rPr>
          <w:rFonts w:hint="eastAsia" w:ascii="Times New Roman" w:hAnsi="Times New Roman" w:eastAsia="仿宋_GB2312" w:cs="Times New Roman"/>
          <w:b w:val="0"/>
          <w:bCs w:val="0"/>
          <w:kern w:val="2"/>
          <w:sz w:val="32"/>
          <w:szCs w:val="32"/>
          <w:highlight w:val="none"/>
          <w:lang w:val="en-US" w:eastAsia="zh-CN" w:bidi="ar-SA"/>
        </w:rPr>
        <w:t>1985</w:t>
      </w:r>
      <w:r>
        <w:rPr>
          <w:rFonts w:hint="default" w:ascii="Times New Roman" w:hAnsi="Times New Roman" w:eastAsia="仿宋_GB2312" w:cs="Times New Roman"/>
          <w:b w:val="0"/>
          <w:bCs w:val="0"/>
          <w:kern w:val="2"/>
          <w:sz w:val="32"/>
          <w:szCs w:val="32"/>
          <w:highlight w:val="none"/>
          <w:lang w:val="en-US" w:eastAsia="zh-CN" w:bidi="ar-SA"/>
        </w:rPr>
        <w:t>万元，实际支出</w:t>
      </w:r>
      <w:r>
        <w:rPr>
          <w:rFonts w:hint="eastAsia" w:ascii="Times New Roman" w:hAnsi="Times New Roman" w:eastAsia="仿宋_GB2312" w:cs="Times New Roman"/>
          <w:b w:val="0"/>
          <w:bCs w:val="0"/>
          <w:kern w:val="2"/>
          <w:sz w:val="32"/>
          <w:szCs w:val="32"/>
          <w:highlight w:val="none"/>
          <w:lang w:val="en-US" w:eastAsia="zh-CN" w:bidi="ar-SA"/>
        </w:rPr>
        <w:t>1985</w:t>
      </w:r>
      <w:r>
        <w:rPr>
          <w:rFonts w:hint="default" w:ascii="Times New Roman" w:hAnsi="Times New Roman" w:eastAsia="仿宋_GB2312" w:cs="Times New Roman"/>
          <w:b w:val="0"/>
          <w:bCs w:val="0"/>
          <w:kern w:val="2"/>
          <w:sz w:val="32"/>
          <w:szCs w:val="32"/>
          <w:highlight w:val="none"/>
          <w:lang w:val="en-US" w:eastAsia="zh-CN" w:bidi="ar-SA"/>
        </w:rPr>
        <w:t>万元，预算执行率为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%，项目绩效指标总体完成率为</w:t>
      </w:r>
      <w:r>
        <w:rPr>
          <w:rFonts w:hint="eastAsia" w:ascii="Times New Roman" w:hAnsi="Times New Roman"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b w:val="0"/>
          <w:bCs w:val="0"/>
          <w:kern w:val="2"/>
          <w:sz w:val="32"/>
          <w:szCs w:val="32"/>
          <w:highlight w:val="none"/>
          <w:lang w:val="en-US" w:eastAsia="zh-CN" w:bidi="ar-SA"/>
        </w:rPr>
        <w:t>%。</w:t>
      </w:r>
    </w:p>
    <w:p w14:paraId="471E0918">
      <w:pPr>
        <w:shd w:val="clear" w:color="auto" w:fill="auto"/>
        <w:spacing w:line="600" w:lineRule="exact"/>
        <w:ind w:firstLine="643" w:firstLineChars="200"/>
        <w:outlineLvl w:val="0"/>
        <w:rPr>
          <w:rFonts w:hint="eastAsia" w:ascii="黑体" w:hAnsi="黑体" w:eastAsia="黑体" w:cs="黑体"/>
          <w:b/>
          <w:bCs/>
          <w:kern w:val="2"/>
          <w:sz w:val="32"/>
          <w:szCs w:val="32"/>
          <w:highlight w:val="none"/>
          <w:lang w:val="en-US" w:eastAsia="zh-CN" w:bidi="ar-SA"/>
        </w:rPr>
      </w:pPr>
    </w:p>
    <w:p w14:paraId="3B8A9F0A">
      <w:pPr>
        <w:shd w:val="clear" w:color="auto" w:fill="auto"/>
        <w:spacing w:line="600" w:lineRule="exact"/>
        <w:ind w:firstLine="643" w:firstLineChars="200"/>
        <w:outlineLvl w:val="0"/>
        <w:rPr>
          <w:rFonts w:hint="eastAsia" w:ascii="黑体" w:hAnsi="黑体" w:eastAsia="黑体" w:cs="黑体"/>
          <w:b/>
          <w:bCs/>
          <w:kern w:val="2"/>
          <w:sz w:val="32"/>
          <w:szCs w:val="32"/>
          <w:highlight w:val="none"/>
          <w:lang w:val="en-US" w:eastAsia="zh-CN" w:bidi="ar-SA"/>
        </w:rPr>
      </w:pPr>
      <w:r>
        <w:rPr>
          <w:rFonts w:hint="eastAsia" w:ascii="黑体" w:hAnsi="黑体" w:eastAsia="黑体" w:cs="黑体"/>
          <w:b/>
          <w:bCs/>
          <w:kern w:val="2"/>
          <w:sz w:val="32"/>
          <w:szCs w:val="32"/>
          <w:highlight w:val="none"/>
          <w:lang w:val="en-US" w:eastAsia="zh-CN" w:bidi="ar-SA"/>
        </w:rPr>
        <w:t>五.主要经验及做法、存在的问题及原因分析</w:t>
      </w:r>
    </w:p>
    <w:p w14:paraId="16372B04">
      <w:pPr>
        <w:shd w:val="clear" w:color="auto" w:fill="auto"/>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（一）主要经验及做法</w:t>
      </w:r>
    </w:p>
    <w:p w14:paraId="0E2B4E6F">
      <w:pPr>
        <w:shd w:val="clear" w:color="auto" w:fill="auto"/>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我单位在下面实施过程中完善内控制度，严防经办风险，严格落实《社会保险法》和相关制度文件精神，加强基金风险防控，全面取消社银人工报盘、全面取消业务手工办理、全面取消现金业务，合理设置岗位，按照不相容岗位不能一人兼任的原则，明确责任分工，建立内部制衡机制，杜绝了经办风险。同时按规定开设机关事业单位养老保险基金收入户、支出户和财政专户，专款专用。做到每月与业务、税务、银行和财政四方对账，保障基金安全运行。</w:t>
      </w:r>
    </w:p>
    <w:p w14:paraId="1887B66D">
      <w:pPr>
        <w:shd w:val="clear" w:color="auto" w:fill="auto"/>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2.加强数据统计工作，确保数据来源有依据、分析合理合规。根据上年决算和本能预算任务，合理权衡待遇享受人数、新增和死亡人数，测算合理月人均标准，确保退休人员养老金发放准确率。</w:t>
      </w:r>
    </w:p>
    <w:p w14:paraId="0668AD79">
      <w:pPr>
        <w:keepNext/>
        <w:keepLines/>
        <w:numPr>
          <w:ilvl w:val="0"/>
          <w:numId w:val="5"/>
        </w:numPr>
        <w:spacing w:line="560" w:lineRule="exact"/>
        <w:ind w:firstLine="643" w:firstLineChars="200"/>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存在的问题及原因分析</w:t>
      </w:r>
    </w:p>
    <w:p w14:paraId="5D89CF9B">
      <w:pPr>
        <w:shd w:val="clear" w:color="auto" w:fill="auto"/>
        <w:spacing w:line="600" w:lineRule="exact"/>
        <w:ind w:firstLine="640" w:firstLineChars="200"/>
        <w:outlineLvl w:val="0"/>
        <w:rPr>
          <w:rFonts w:hint="eastAsia" w:ascii="仿宋" w:hAnsi="仿宋" w:eastAsia="仿宋" w:cs="仿宋"/>
          <w:b w:val="0"/>
          <w:bCs/>
          <w:spacing w:val="-4"/>
          <w:sz w:val="32"/>
          <w:szCs w:val="32"/>
          <w:highlight w:val="none"/>
        </w:rPr>
      </w:pP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w:t>
      </w:r>
      <w:r>
        <w:rPr>
          <w:rFonts w:hint="eastAsia" w:ascii="仿宋" w:hAnsi="仿宋" w:eastAsia="仿宋" w:cs="仿宋"/>
          <w:b w:val="0"/>
          <w:bCs/>
          <w:spacing w:val="-4"/>
          <w:sz w:val="32"/>
          <w:szCs w:val="32"/>
          <w:highlight w:val="none"/>
        </w:rPr>
        <w:t>各乡镇劳动保障所和各村社区负责城乡养老保险人员变动较大,参入来的新手需要业务熟悉过程,交费不及时完成任务进度偏慢，上报材料不及时参保人员丧葬补助及个人账户退费及时完不成的现象等。</w:t>
      </w:r>
    </w:p>
    <w:p w14:paraId="1F331F7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中青年居民群体参保意识不强，因出现居民养老保险缴费制度具有持续性，达到规定的年龄时领取相应的待遇，且领取待遇的水平与上涨的物价有差距，影响城乡居民的参保率。城乡居民宣传不够细致深入，群众接受信息来源渠道单一。</w:t>
      </w:r>
    </w:p>
    <w:p w14:paraId="21DC5C3B">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14:paraId="6D58829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加强宣传力度，营造全民参保的范围，充分发挥各部门的职能优势，上下联动，部门协作；加大财政支持力度，提高保障水平，缩小与周边地区领取待遇标准的差距。加强基层队伍建设，发挥好代办员作用。。</w:t>
      </w:r>
    </w:p>
    <w:p w14:paraId="74E8157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2964509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val="en-US" w:eastAsia="zh-CN"/>
        </w:rPr>
        <w:t>、对社保基金预算编制、执行、调整、决算、监督实行全程的绩效管理，编制有目标、执行有监控、完成偶评价，进一步改善实施效果、提升基金使用效益，促进基金收支平衡，防范基金运行风险优化管理制度。</w:t>
      </w:r>
    </w:p>
    <w:p w14:paraId="62A45C95">
      <w:pPr>
        <w:shd w:val="clear" w:color="auto" w:fill="auto"/>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14:paraId="6663D0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3B74346">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0" w:name="page8"/>
      <w:bookmarkEnd w:id="0"/>
      <w:r>
        <w:rPr>
          <w:rFonts w:hint="default" w:ascii="Times New Roman" w:hAnsi="Times New Roman" w:eastAsia="黑体" w:cs="Times New Roman"/>
          <w:sz w:val="32"/>
          <w:szCs w:val="32"/>
          <w:highlight w:val="none"/>
        </w:rPr>
        <w:t>明的问题</w:t>
      </w:r>
    </w:p>
    <w:p w14:paraId="4C690B1C">
      <w:pPr>
        <w:pStyle w:val="13"/>
        <w:spacing w:after="0" w:line="560" w:lineRule="exact"/>
        <w:ind w:left="0" w:leftChars="0" w:firstLine="640"/>
        <w:rPr>
          <w:rFonts w:hint="default" w:ascii="Times New Roman" w:hAnsi="Times New Roman" w:eastAsia="仿宋_GB2312" w:cs="Times New Roman"/>
          <w:kern w:val="2"/>
          <w:sz w:val="32"/>
          <w:szCs w:val="32"/>
          <w:highlight w:val="none"/>
          <w:lang w:val="en-US" w:eastAsia="zh-Hans" w:bidi="ar-SA"/>
        </w:rPr>
      </w:pPr>
      <w:r>
        <w:rPr>
          <w:rFonts w:hint="default" w:ascii="Times New Roman" w:hAnsi="Times New Roman" w:eastAsia="仿宋_GB2312" w:cs="Times New Roman"/>
          <w:kern w:val="2"/>
          <w:sz w:val="32"/>
          <w:szCs w:val="32"/>
          <w:highlight w:val="none"/>
          <w:lang w:val="en-US" w:eastAsia="zh-Hans" w:bidi="ar-SA"/>
        </w:rPr>
        <w:t>本项目无其他需说明的问题。</w:t>
      </w:r>
      <w:bookmarkStart w:id="1" w:name="_GoBack"/>
      <w:bookmarkEnd w:id="1"/>
    </w:p>
    <w:sectPr>
      <w:footerReference r:id="rId3" w:type="default"/>
      <w:pgSz w:w="11906" w:h="16838"/>
      <w:pgMar w:top="1531" w:right="1984" w:bottom="1531" w:left="209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311068-81CC-4FF0-8D2D-8F546D8A22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A87AB38B-E6CB-4E9A-9BC6-F3BA94B49C0D}"/>
  </w:font>
  <w:font w:name="仿宋">
    <w:panose1 w:val="02010609060101010101"/>
    <w:charset w:val="86"/>
    <w:family w:val="auto"/>
    <w:pitch w:val="default"/>
    <w:sig w:usb0="800002BF" w:usb1="38CF7CFA" w:usb2="00000016" w:usb3="00000000" w:csb0="00040001" w:csb1="00000000"/>
    <w:embedRegular r:id="rId3" w:fontKey="{05677A28-E140-4054-9551-2FE2A70848D7}"/>
  </w:font>
  <w:font w:name="华文中宋">
    <w:altName w:val="宋体"/>
    <w:panose1 w:val="02010600040101010101"/>
    <w:charset w:val="86"/>
    <w:family w:val="auto"/>
    <w:pitch w:val="default"/>
    <w:sig w:usb0="00000000" w:usb1="00000000" w:usb2="00000000" w:usb3="00000000" w:csb0="0004009F" w:csb1="DFD70000"/>
    <w:embedRegular r:id="rId4" w:fontKey="{9505E5E0-B2A3-40EE-B7CF-2F309AD2386E}"/>
  </w:font>
  <w:font w:name="方正小标宋_GBK">
    <w:panose1 w:val="02000000000000000000"/>
    <w:charset w:val="86"/>
    <w:family w:val="script"/>
    <w:pitch w:val="default"/>
    <w:sig w:usb0="A00002BF" w:usb1="38CF7CFA" w:usb2="00082016" w:usb3="00000000" w:csb0="00040001" w:csb1="00000000"/>
    <w:embedRegular r:id="rId5" w:fontKey="{3AD8B450-633A-41F5-983D-AD105892A3E0}"/>
  </w:font>
  <w:font w:name="方正小标宋简体">
    <w:panose1 w:val="02000000000000000000"/>
    <w:charset w:val="86"/>
    <w:family w:val="auto"/>
    <w:pitch w:val="default"/>
    <w:sig w:usb0="00000001" w:usb1="08000000" w:usb2="00000000" w:usb3="00000000" w:csb0="00040000" w:csb1="00000000"/>
    <w:embedRegular r:id="rId6" w:fontKey="{2BDA99BB-9063-416D-9E0B-83CF4AFAEA26}"/>
  </w:font>
  <w:font w:name="楷体_GB2312">
    <w:altName w:val="楷体"/>
    <w:panose1 w:val="02010609030101010101"/>
    <w:charset w:val="86"/>
    <w:family w:val="auto"/>
    <w:pitch w:val="default"/>
    <w:sig w:usb0="00000000" w:usb1="00000000" w:usb2="00000000" w:usb3="00000000" w:csb0="00040000" w:csb1="00000000"/>
    <w:embedRegular r:id="rId7" w:fontKey="{CBB606AE-1263-42F9-9FB4-34D18507F44B}"/>
  </w:font>
  <w:font w:name="楷体">
    <w:panose1 w:val="02010609060101010101"/>
    <w:charset w:val="86"/>
    <w:family w:val="modern"/>
    <w:pitch w:val="default"/>
    <w:sig w:usb0="800002BF" w:usb1="38CF7CFA" w:usb2="00000016" w:usb3="00000000" w:csb0="00040001" w:csb1="00000000"/>
    <w:embedRegular r:id="rId8" w:fontKey="{4324A94F-C15B-42CE-B992-A5108191DABA}"/>
  </w:font>
  <w:font w:name="方正仿宋_GBK">
    <w:altName w:val="微软雅黑"/>
    <w:panose1 w:val="03000509000000000000"/>
    <w:charset w:val="86"/>
    <w:family w:val="auto"/>
    <w:pitch w:val="default"/>
    <w:sig w:usb0="00000000" w:usb1="00000000" w:usb2="00000000" w:usb3="00000000" w:csb0="00040000" w:csb1="00000000"/>
    <w:embedRegular r:id="rId9" w:fontKey="{ED493F3E-943A-4611-96C7-81AA361A652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5E9BD">
    <w:pPr>
      <w:pStyle w:val="7"/>
      <w:jc w:val="center"/>
    </w:pPr>
    <w:r>
      <w:fldChar w:fldCharType="begin"/>
    </w:r>
    <w:r>
      <w:instrText xml:space="preserve">PAGE   \* MERGEFORMAT</w:instrText>
    </w:r>
    <w:r>
      <w:fldChar w:fldCharType="separate"/>
    </w:r>
    <w:r>
      <w:rPr>
        <w:lang w:val="zh-CN"/>
      </w:rPr>
      <w:t>13</w:t>
    </w:r>
    <w:r>
      <w:fldChar w:fldCharType="end"/>
    </w:r>
  </w:p>
  <w:p w14:paraId="39C5346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8B74D37"/>
    <w:rsid w:val="0A74025F"/>
    <w:rsid w:val="0AD007F3"/>
    <w:rsid w:val="0C2E3BAF"/>
    <w:rsid w:val="0CB21E03"/>
    <w:rsid w:val="0E3C619F"/>
    <w:rsid w:val="100F38EC"/>
    <w:rsid w:val="10F66AD9"/>
    <w:rsid w:val="11170296"/>
    <w:rsid w:val="12762706"/>
    <w:rsid w:val="12C66037"/>
    <w:rsid w:val="12CD1ABC"/>
    <w:rsid w:val="13471461"/>
    <w:rsid w:val="13B90F01"/>
    <w:rsid w:val="14E44C9B"/>
    <w:rsid w:val="155E4C4D"/>
    <w:rsid w:val="181066D2"/>
    <w:rsid w:val="1C671E73"/>
    <w:rsid w:val="1CA26EA3"/>
    <w:rsid w:val="1D322C47"/>
    <w:rsid w:val="20FE0F36"/>
    <w:rsid w:val="22032E04"/>
    <w:rsid w:val="23616034"/>
    <w:rsid w:val="23696C97"/>
    <w:rsid w:val="23A40678"/>
    <w:rsid w:val="24480FA2"/>
    <w:rsid w:val="25227A45"/>
    <w:rsid w:val="26787E76"/>
    <w:rsid w:val="26AC3A6A"/>
    <w:rsid w:val="280675C7"/>
    <w:rsid w:val="298A4D77"/>
    <w:rsid w:val="2B9D7E25"/>
    <w:rsid w:val="2C7C7A3B"/>
    <w:rsid w:val="2CB82A3D"/>
    <w:rsid w:val="2DD247C6"/>
    <w:rsid w:val="2F364819"/>
    <w:rsid w:val="2FD63906"/>
    <w:rsid w:val="309628B9"/>
    <w:rsid w:val="329A664B"/>
    <w:rsid w:val="33044C2E"/>
    <w:rsid w:val="37215DAE"/>
    <w:rsid w:val="38CA40DD"/>
    <w:rsid w:val="395F2B56"/>
    <w:rsid w:val="3A054C2F"/>
    <w:rsid w:val="3BBA0580"/>
    <w:rsid w:val="3BECE841"/>
    <w:rsid w:val="3BED2703"/>
    <w:rsid w:val="3C1E7FA6"/>
    <w:rsid w:val="3CDE204C"/>
    <w:rsid w:val="3D363C36"/>
    <w:rsid w:val="3E9C3F6D"/>
    <w:rsid w:val="3FF7797D"/>
    <w:rsid w:val="42677AA1"/>
    <w:rsid w:val="43994F1E"/>
    <w:rsid w:val="46690BD8"/>
    <w:rsid w:val="48D3579F"/>
    <w:rsid w:val="49396875"/>
    <w:rsid w:val="49F70BF1"/>
    <w:rsid w:val="4B4340EE"/>
    <w:rsid w:val="4C9B15F1"/>
    <w:rsid w:val="4CBD57DA"/>
    <w:rsid w:val="503D507A"/>
    <w:rsid w:val="51FA74D0"/>
    <w:rsid w:val="52AA4A52"/>
    <w:rsid w:val="53D1282D"/>
    <w:rsid w:val="59712D39"/>
    <w:rsid w:val="59943D66"/>
    <w:rsid w:val="59E051FD"/>
    <w:rsid w:val="59E6355E"/>
    <w:rsid w:val="5B821531"/>
    <w:rsid w:val="5BFF6039"/>
    <w:rsid w:val="5D76A616"/>
    <w:rsid w:val="5D7F20B9"/>
    <w:rsid w:val="5DAC7D0E"/>
    <w:rsid w:val="5F98B5AF"/>
    <w:rsid w:val="5FFE8511"/>
    <w:rsid w:val="5FFEACE2"/>
    <w:rsid w:val="609D5BF6"/>
    <w:rsid w:val="61073070"/>
    <w:rsid w:val="61A95895"/>
    <w:rsid w:val="61B9080E"/>
    <w:rsid w:val="61DF3FED"/>
    <w:rsid w:val="63381C06"/>
    <w:rsid w:val="634C4E6E"/>
    <w:rsid w:val="642B176B"/>
    <w:rsid w:val="642D4B2B"/>
    <w:rsid w:val="643EE26D"/>
    <w:rsid w:val="656019A0"/>
    <w:rsid w:val="65F242EE"/>
    <w:rsid w:val="666D7E19"/>
    <w:rsid w:val="66E31E89"/>
    <w:rsid w:val="68376930"/>
    <w:rsid w:val="68E048D2"/>
    <w:rsid w:val="68F91E38"/>
    <w:rsid w:val="6B3158B9"/>
    <w:rsid w:val="6BA02A3F"/>
    <w:rsid w:val="6C1E5A53"/>
    <w:rsid w:val="6D7B58C8"/>
    <w:rsid w:val="6E2C680B"/>
    <w:rsid w:val="6E8A3D85"/>
    <w:rsid w:val="6EFC7AD4"/>
    <w:rsid w:val="6F5C41AC"/>
    <w:rsid w:val="6FAF6C78"/>
    <w:rsid w:val="7020414E"/>
    <w:rsid w:val="716167CC"/>
    <w:rsid w:val="718A7AD1"/>
    <w:rsid w:val="72534EA3"/>
    <w:rsid w:val="72A44BC2"/>
    <w:rsid w:val="72D57472"/>
    <w:rsid w:val="7317C656"/>
    <w:rsid w:val="734ED73F"/>
    <w:rsid w:val="73B02D0B"/>
    <w:rsid w:val="73C82B32"/>
    <w:rsid w:val="73F94DAE"/>
    <w:rsid w:val="74000C22"/>
    <w:rsid w:val="74220495"/>
    <w:rsid w:val="747D1B6F"/>
    <w:rsid w:val="749E5641"/>
    <w:rsid w:val="76271066"/>
    <w:rsid w:val="77FD8BE9"/>
    <w:rsid w:val="78000AED"/>
    <w:rsid w:val="79951709"/>
    <w:rsid w:val="79A9BD3F"/>
    <w:rsid w:val="7B776F12"/>
    <w:rsid w:val="7B91415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widowControl/>
      <w:spacing w:before="240" w:after="60"/>
      <w:jc w:val="left"/>
      <w:outlineLvl w:val="2"/>
    </w:pPr>
    <w:rPr>
      <w:rFonts w:ascii="Calibri Light" w:hAnsi="Calibri Light" w:eastAsia="宋体"/>
      <w:b/>
      <w:bCs/>
      <w:kern w:val="0"/>
      <w:sz w:val="26"/>
      <w:szCs w:val="26"/>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Calibri Light" w:hAnsi="Calibri Light" w:eastAsia="宋体"/>
      <w:b/>
      <w:bCs/>
      <w:kern w:val="28"/>
      <w:sz w:val="32"/>
      <w:szCs w:val="32"/>
    </w:rPr>
  </w:style>
  <w:style w:type="paragraph" w:styleId="11">
    <w:name w:val="annotation subject"/>
    <w:basedOn w:val="3"/>
    <w:next w:val="3"/>
    <w:link w:val="21"/>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批注文字 字符"/>
    <w:basedOn w:val="15"/>
    <w:link w:val="3"/>
    <w:qFormat/>
    <w:uiPriority w:val="0"/>
    <w:rPr>
      <w:rFonts w:ascii="Times New Roman" w:hAnsi="Times New Roman" w:eastAsia="宋体" w:cs="Times New Roman"/>
      <w:kern w:val="2"/>
      <w:sz w:val="21"/>
      <w:szCs w:val="24"/>
    </w:rPr>
  </w:style>
  <w:style w:type="character" w:customStyle="1" w:styleId="19">
    <w:name w:val="批注框文本 字符"/>
    <w:basedOn w:val="15"/>
    <w:link w:val="6"/>
    <w:qFormat/>
    <w:uiPriority w:val="0"/>
    <w:rPr>
      <w:rFonts w:ascii="Times New Roman" w:hAnsi="Times New Roman" w:eastAsia="宋体" w:cs="Times New Roman"/>
      <w:kern w:val="2"/>
      <w:sz w:val="18"/>
      <w:szCs w:val="18"/>
    </w:rPr>
  </w:style>
  <w:style w:type="character" w:customStyle="1" w:styleId="20">
    <w:name w:val="页眉 字符"/>
    <w:basedOn w:val="15"/>
    <w:link w:val="8"/>
    <w:qFormat/>
    <w:uiPriority w:val="0"/>
    <w:rPr>
      <w:rFonts w:ascii="Times New Roman" w:hAnsi="Times New Roman" w:eastAsia="宋体" w:cs="Times New Roman"/>
      <w:kern w:val="2"/>
      <w:sz w:val="18"/>
      <w:szCs w:val="18"/>
    </w:rPr>
  </w:style>
  <w:style w:type="character" w:customStyle="1" w:styleId="21">
    <w:name w:val="批注主题 字符"/>
    <w:basedOn w:val="18"/>
    <w:link w:val="11"/>
    <w:qFormat/>
    <w:uiPriority w:val="0"/>
    <w:rPr>
      <w:rFonts w:ascii="Times New Roman" w:hAnsi="Times New Roman" w:eastAsia="宋体" w:cs="Times New Roman"/>
      <w:b/>
      <w:bCs/>
      <w:kern w:val="2"/>
      <w:sz w:val="21"/>
      <w:szCs w:val="24"/>
    </w:rPr>
  </w:style>
  <w:style w:type="character" w:customStyle="1" w:styleId="22">
    <w:name w:val="fontstyle01"/>
    <w:qFormat/>
    <w:uiPriority w:val="0"/>
    <w:rPr>
      <w:rFonts w:ascii="仿宋_GB2312" w:hAnsi="仿宋_GB2312" w:eastAsia="仿宋_GB2312" w:cs="仿宋_GB2312"/>
      <w:color w:val="000000"/>
      <w:sz w:val="32"/>
      <w:szCs w:val="32"/>
    </w:rPr>
  </w:style>
  <w:style w:type="paragraph" w:customStyle="1" w:styleId="23">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10514</Words>
  <Characters>10924</Characters>
  <Lines>58</Lines>
  <Paragraphs>16</Paragraphs>
  <TotalTime>0</TotalTime>
  <ScaleCrop>false</ScaleCrop>
  <LinksUpToDate>false</LinksUpToDate>
  <CharactersWithSpaces>10945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2025-11-13T05:46:49Z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E96CC7E85FFB425BB4A27DF874AB38DF_13</vt:lpwstr>
  </property>
  <property fmtid="{D5CDD505-2E9C-101B-9397-08002B2CF9AE}" pid="4" name="KSOTemplateDocerSaveRecord">
    <vt:lpwstr>eyJoZGlkIjoiZjZjY2YzNDY3YWM4YThjNjdkZTk2MDAwYjE2OGQzNDQiLCJ1c2VySWQiOiIzNzI2MDMzNTYifQ==</vt:lpwstr>
  </property>
</Properties>
</file>