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4494DB">
      <w:r>
        <w:br w:type="page"/>
      </w:r>
    </w:p>
    <w:p w14:paraId="2B0D772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82688B4">
      <w:pPr>
        <w:spacing w:line="640" w:lineRule="exact"/>
        <w:ind w:firstLine="640"/>
        <w:jc w:val="both"/>
        <w:outlineLvl w:val="2"/>
      </w:pPr>
      <w:r>
        <w:rPr>
          <w:rFonts w:ascii="黑体" w:hAnsi="黑体" w:eastAsia="黑体"/>
          <w:sz w:val="32"/>
        </w:rPr>
        <w:t>一、主要职能</w:t>
      </w:r>
    </w:p>
    <w:p w14:paraId="704EAE3E">
      <w:pPr>
        <w:spacing w:line="580" w:lineRule="exact"/>
        <w:ind w:firstLine="640"/>
        <w:jc w:val="both"/>
      </w:pPr>
      <w:r>
        <w:rPr>
          <w:rFonts w:ascii="仿宋_GB2312" w:hAnsi="仿宋_GB2312" w:eastAsia="仿宋_GB2312"/>
          <w:sz w:val="32"/>
        </w:rPr>
        <w:t>1.根据党的路线、方针、政策和县委及上级业务部门的部署，统一政法各部门的思想和行动。</w:t>
      </w:r>
    </w:p>
    <w:p w14:paraId="49167E85">
      <w:pPr>
        <w:spacing w:line="580" w:lineRule="exact"/>
        <w:ind w:firstLine="640"/>
        <w:jc w:val="both"/>
      </w:pPr>
      <w:r>
        <w:rPr>
          <w:rFonts w:ascii="仿宋_GB2312" w:hAnsi="仿宋_GB2312" w:eastAsia="仿宋_GB2312"/>
          <w:sz w:val="32"/>
        </w:rPr>
        <w:t>2.对一定时期的政法工作作出全局性部署，并督促贯彻落实。</w:t>
      </w:r>
    </w:p>
    <w:p w14:paraId="674AC0AF">
      <w:pPr>
        <w:spacing w:line="580" w:lineRule="exact"/>
        <w:ind w:firstLine="640"/>
        <w:jc w:val="both"/>
      </w:pPr>
      <w:r>
        <w:rPr>
          <w:rFonts w:ascii="仿宋_GB2312" w:hAnsi="仿宋_GB2312" w:eastAsia="仿宋_GB2312"/>
          <w:sz w:val="32"/>
        </w:rPr>
        <w:t>3.组织协调指导维护社会稳定工作，及时向县委提供决策性依据。</w:t>
      </w:r>
    </w:p>
    <w:p w14:paraId="023190AB">
      <w:pPr>
        <w:spacing w:line="580" w:lineRule="exact"/>
        <w:ind w:firstLine="640"/>
        <w:jc w:val="both"/>
      </w:pPr>
      <w:r>
        <w:rPr>
          <w:rFonts w:ascii="仿宋_GB2312" w:hAnsi="仿宋_GB2312" w:eastAsia="仿宋_GB2312"/>
          <w:sz w:val="32"/>
        </w:rPr>
        <w:t>4.检查政法部门执行法律法规和党的方针政策的情况，结合实际，研究制定严肃执法、落实党的方针政策的具体措施。</w:t>
      </w:r>
    </w:p>
    <w:p w14:paraId="68E56AF1">
      <w:pPr>
        <w:spacing w:line="580" w:lineRule="exact"/>
        <w:ind w:firstLine="640"/>
        <w:jc w:val="both"/>
      </w:pPr>
      <w:r>
        <w:rPr>
          <w:rFonts w:ascii="仿宋_GB2312" w:hAnsi="仿宋_GB2312" w:eastAsia="仿宋_GB2312"/>
          <w:sz w:val="32"/>
        </w:rPr>
        <w:t>5.大力支持和严格监督政法各部门依法行使职权指导和协调政法各部门在依法相互制约的同时，密切配合、督促、推动大案要案的查处工作，研究，协调有争议的重大疑难案件。</w:t>
      </w:r>
    </w:p>
    <w:p w14:paraId="7D7CAFA6">
      <w:pPr>
        <w:spacing w:line="580" w:lineRule="exact"/>
        <w:ind w:firstLine="640"/>
        <w:jc w:val="both"/>
      </w:pPr>
      <w:r>
        <w:rPr>
          <w:rFonts w:ascii="仿宋_GB2312" w:hAnsi="仿宋_GB2312" w:eastAsia="仿宋_GB2312"/>
          <w:sz w:val="32"/>
        </w:rPr>
        <w:t>6.组织协调社会治安综合治理工作，推动各项措施的落实。</w:t>
      </w:r>
    </w:p>
    <w:p w14:paraId="5D8D87D8">
      <w:pPr>
        <w:spacing w:line="580" w:lineRule="exact"/>
        <w:ind w:firstLine="640"/>
        <w:jc w:val="both"/>
      </w:pPr>
      <w:r>
        <w:rPr>
          <w:rFonts w:ascii="仿宋_GB2312" w:hAnsi="仿宋_GB2312" w:eastAsia="仿宋_GB2312"/>
          <w:sz w:val="32"/>
        </w:rPr>
        <w:t>7.组织推动政法战线的调查研究工作，总结新经验，解决新问题，探索政法工作改革</w:t>
      </w:r>
      <w:r>
        <w:rPr>
          <w:rFonts w:hint="eastAsia" w:ascii="仿宋_GB2312" w:hAnsi="仿宋_GB2312" w:eastAsia="仿宋_GB2312"/>
          <w:sz w:val="32"/>
          <w:lang w:eastAsia="zh-CN"/>
        </w:rPr>
        <w:t>，以</w:t>
      </w:r>
      <w:r>
        <w:rPr>
          <w:rFonts w:ascii="仿宋_GB2312" w:hAnsi="仿宋_GB2312" w:eastAsia="仿宋_GB2312"/>
          <w:sz w:val="32"/>
        </w:rPr>
        <w:t>改革进一步加强政法工作。</w:t>
      </w:r>
    </w:p>
    <w:p w14:paraId="13A9DF20">
      <w:pPr>
        <w:spacing w:line="580" w:lineRule="exact"/>
        <w:ind w:firstLine="640"/>
        <w:jc w:val="both"/>
      </w:pPr>
      <w:r>
        <w:rPr>
          <w:rFonts w:ascii="仿宋_GB2312" w:hAnsi="仿宋_GB2312" w:eastAsia="仿宋_GB2312"/>
          <w:sz w:val="32"/>
        </w:rPr>
        <w:t>8.研究加强政法队伍建设和领导班子建设的措施，协助党委及其组织部门考察、管理政法部门的领导干部。</w:t>
      </w:r>
    </w:p>
    <w:p w14:paraId="1DBA9DB0">
      <w:pPr>
        <w:spacing w:line="580" w:lineRule="exact"/>
        <w:ind w:firstLine="640"/>
        <w:jc w:val="both"/>
      </w:pPr>
      <w:r>
        <w:rPr>
          <w:rFonts w:ascii="仿宋_GB2312" w:hAnsi="仿宋_GB2312" w:eastAsia="仿宋_GB2312"/>
          <w:sz w:val="32"/>
        </w:rPr>
        <w:t>9.承办特克斯县委交办的其他任务，指导下级政法部门的工作。</w:t>
      </w:r>
    </w:p>
    <w:p w14:paraId="683AE8F9">
      <w:pPr>
        <w:spacing w:line="640" w:lineRule="exact"/>
        <w:ind w:firstLine="640"/>
        <w:jc w:val="both"/>
        <w:outlineLvl w:val="2"/>
      </w:pPr>
      <w:r>
        <w:rPr>
          <w:rFonts w:ascii="黑体" w:hAnsi="黑体" w:eastAsia="黑体"/>
          <w:sz w:val="32"/>
        </w:rPr>
        <w:t>二、机构设置及人员情况</w:t>
      </w:r>
    </w:p>
    <w:p w14:paraId="085E8BAF">
      <w:pPr>
        <w:spacing w:line="580" w:lineRule="exact"/>
        <w:ind w:firstLine="640"/>
        <w:jc w:val="both"/>
      </w:pPr>
      <w:r>
        <w:rPr>
          <w:rFonts w:ascii="仿宋_GB2312" w:hAnsi="仿宋_GB2312" w:eastAsia="仿宋_GB2312"/>
          <w:sz w:val="32"/>
        </w:rPr>
        <w:t>中共特克斯县委员会政法委员会2024年度，实有人数55人，其中：在职人员47人，增加4人；离休人员0人，增加0人；退休人员8人,增加0人。</w:t>
      </w:r>
    </w:p>
    <w:p w14:paraId="76C1FA03">
      <w:pPr>
        <w:spacing w:line="580" w:lineRule="exact"/>
        <w:ind w:firstLine="640"/>
        <w:jc w:val="both"/>
      </w:pPr>
      <w:r>
        <w:rPr>
          <w:rFonts w:ascii="仿宋_GB2312" w:hAnsi="仿宋_GB2312" w:eastAsia="仿宋_GB2312"/>
          <w:sz w:val="32"/>
        </w:rPr>
        <w:t>中共特克斯县委员会政法委员会无下属预算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，下设6个科室，分别是：综合科、综合督导科、指导科、网格化管理办公室、法学会办公室、人口办。</w:t>
      </w:r>
    </w:p>
    <w:p w14:paraId="2C8B0F94">
      <w:r>
        <w:br w:type="page"/>
      </w:r>
    </w:p>
    <w:p w14:paraId="6840C080">
      <w:pPr>
        <w:spacing w:line="240" w:lineRule="auto"/>
        <w:jc w:val="center"/>
        <w:outlineLvl w:val="1"/>
      </w:pPr>
      <w:r>
        <w:rPr>
          <w:rFonts w:ascii="黑体" w:hAnsi="黑体" w:eastAsia="黑体"/>
          <w:sz w:val="32"/>
        </w:rPr>
        <w:t>第二部分 部门决算情况说明</w:t>
      </w:r>
    </w:p>
    <w:p w14:paraId="355BD04E">
      <w:pPr>
        <w:spacing w:line="640" w:lineRule="exact"/>
        <w:ind w:firstLine="640"/>
        <w:jc w:val="both"/>
        <w:outlineLvl w:val="2"/>
      </w:pPr>
      <w:r>
        <w:rPr>
          <w:rFonts w:ascii="黑体" w:hAnsi="黑体" w:eastAsia="黑体"/>
          <w:sz w:val="32"/>
        </w:rPr>
        <w:t>一、收入支出决算总体情况说明</w:t>
      </w:r>
    </w:p>
    <w:p w14:paraId="74C0C8B0">
      <w:pPr>
        <w:spacing w:line="580" w:lineRule="exact"/>
        <w:ind w:firstLine="640"/>
        <w:jc w:val="both"/>
      </w:pPr>
      <w:r>
        <w:rPr>
          <w:rFonts w:ascii="仿宋_GB2312" w:hAnsi="仿宋_GB2312" w:eastAsia="仿宋_GB2312"/>
          <w:b/>
          <w:sz w:val="32"/>
        </w:rPr>
        <w:t>2024年度收入总计724.83万元，</w:t>
      </w:r>
      <w:r>
        <w:rPr>
          <w:rFonts w:ascii="仿宋_GB2312" w:hAnsi="仿宋_GB2312" w:eastAsia="仿宋_GB2312"/>
          <w:b w:val="0"/>
          <w:sz w:val="32"/>
        </w:rPr>
        <w:t>其中：本年收入合计724.83万元，使用非财政拨款结余（含专用结余）0.00万元，年初结转和结余0.00万元。</w:t>
      </w:r>
    </w:p>
    <w:p w14:paraId="2B8568EA">
      <w:pPr>
        <w:spacing w:line="580" w:lineRule="exact"/>
        <w:ind w:firstLine="640"/>
        <w:jc w:val="both"/>
      </w:pPr>
      <w:r>
        <w:rPr>
          <w:rFonts w:ascii="仿宋_GB2312" w:hAnsi="仿宋_GB2312" w:eastAsia="仿宋_GB2312"/>
          <w:b/>
          <w:sz w:val="32"/>
        </w:rPr>
        <w:t>2024年度支出总计724.83万元，</w:t>
      </w:r>
      <w:r>
        <w:rPr>
          <w:rFonts w:ascii="仿宋_GB2312" w:hAnsi="仿宋_GB2312" w:eastAsia="仿宋_GB2312"/>
          <w:b w:val="0"/>
          <w:sz w:val="32"/>
        </w:rPr>
        <w:t>其中：本年支出合计724.83万元，结余分配0.00万元，年末结转和结余0.00万元。</w:t>
      </w:r>
    </w:p>
    <w:p w14:paraId="187D2B55">
      <w:pPr>
        <w:spacing w:line="580" w:lineRule="exact"/>
        <w:ind w:firstLine="640"/>
        <w:jc w:val="both"/>
      </w:pPr>
      <w:r>
        <w:rPr>
          <w:rFonts w:ascii="仿宋_GB2312" w:hAnsi="仿宋_GB2312" w:eastAsia="仿宋_GB2312"/>
          <w:b w:val="0"/>
          <w:sz w:val="32"/>
        </w:rPr>
        <w:t>收入支出总体与上年相比，减少291.90万元，下降28.71%，主要原因是：1本年减少职业学校办公费用；减少支付以前年度专项业务经费；减少专项工作人员补贴金额；2024年度援疆补助资金减少。</w:t>
      </w:r>
    </w:p>
    <w:p w14:paraId="38003420">
      <w:pPr>
        <w:spacing w:line="640" w:lineRule="exact"/>
        <w:ind w:firstLine="640"/>
        <w:jc w:val="both"/>
        <w:outlineLvl w:val="2"/>
      </w:pPr>
      <w:r>
        <w:rPr>
          <w:rFonts w:ascii="黑体" w:hAnsi="黑体" w:eastAsia="黑体"/>
          <w:sz w:val="32"/>
        </w:rPr>
        <w:t>二、收入决算情况说明</w:t>
      </w:r>
    </w:p>
    <w:p w14:paraId="68B24139">
      <w:pPr>
        <w:spacing w:line="580" w:lineRule="exact"/>
        <w:ind w:firstLine="640"/>
        <w:jc w:val="both"/>
      </w:pPr>
      <w:r>
        <w:rPr>
          <w:rFonts w:ascii="仿宋_GB2312" w:hAnsi="仿宋_GB2312" w:eastAsia="仿宋_GB2312"/>
          <w:b/>
          <w:sz w:val="32"/>
        </w:rPr>
        <w:t>本年收入724.83万元，</w:t>
      </w:r>
      <w:r>
        <w:rPr>
          <w:rFonts w:ascii="仿宋_GB2312" w:hAnsi="仿宋_GB2312" w:eastAsia="仿宋_GB2312"/>
          <w:b w:val="0"/>
          <w:sz w:val="32"/>
        </w:rPr>
        <w:t>其中：财政拨款收入714.83万元，占98.62%；上级补助收入0.00万元，占0.00%；事业收入0.00万元，占0.00%；经营收入0.00万元，占0.00%；附属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上缴收入0.00万元，占0.00%；其他收入10.00万元，占1.38%。</w:t>
      </w:r>
    </w:p>
    <w:p w14:paraId="798C5C6A">
      <w:pPr>
        <w:spacing w:line="640" w:lineRule="exact"/>
        <w:ind w:firstLine="640"/>
        <w:jc w:val="both"/>
        <w:outlineLvl w:val="2"/>
      </w:pPr>
      <w:r>
        <w:rPr>
          <w:rFonts w:ascii="黑体" w:hAnsi="黑体" w:eastAsia="黑体"/>
          <w:sz w:val="32"/>
        </w:rPr>
        <w:t>三、支出决算情况说明</w:t>
      </w:r>
    </w:p>
    <w:p w14:paraId="33E55F5F">
      <w:pPr>
        <w:spacing w:line="580" w:lineRule="exact"/>
        <w:ind w:firstLine="640"/>
        <w:jc w:val="both"/>
      </w:pPr>
      <w:r>
        <w:rPr>
          <w:rFonts w:ascii="仿宋_GB2312" w:hAnsi="仿宋_GB2312" w:eastAsia="仿宋_GB2312"/>
          <w:b/>
          <w:sz w:val="32"/>
        </w:rPr>
        <w:t>本年支出724.83万元，</w:t>
      </w:r>
      <w:r>
        <w:rPr>
          <w:rFonts w:ascii="仿宋_GB2312" w:hAnsi="仿宋_GB2312" w:eastAsia="仿宋_GB2312"/>
          <w:b w:val="0"/>
          <w:sz w:val="32"/>
        </w:rPr>
        <w:t>其中：基本支出664.83万元，占91.72%；项目支出60.00万元，占8.28%；上缴上级支出0.00万元，占0.00%；经营支出0.00万元，占0.00%；对附属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A648BCB">
      <w:pPr>
        <w:spacing w:line="640" w:lineRule="exact"/>
        <w:ind w:firstLine="640"/>
        <w:jc w:val="both"/>
        <w:outlineLvl w:val="2"/>
      </w:pPr>
      <w:r>
        <w:rPr>
          <w:rFonts w:ascii="黑体" w:hAnsi="黑体" w:eastAsia="黑体"/>
          <w:sz w:val="32"/>
        </w:rPr>
        <w:t>四、财政拨款收入支出决算总体情况说明</w:t>
      </w:r>
    </w:p>
    <w:p w14:paraId="21C55C0D">
      <w:pPr>
        <w:spacing w:line="580" w:lineRule="exact"/>
        <w:ind w:firstLine="640"/>
        <w:jc w:val="both"/>
      </w:pPr>
      <w:r>
        <w:rPr>
          <w:rFonts w:ascii="仿宋_GB2312" w:hAnsi="仿宋_GB2312" w:eastAsia="仿宋_GB2312"/>
          <w:b/>
          <w:sz w:val="32"/>
        </w:rPr>
        <w:t>2024年度财政拨款收入总计714.83万元，</w:t>
      </w:r>
      <w:r>
        <w:rPr>
          <w:rFonts w:ascii="仿宋_GB2312" w:hAnsi="仿宋_GB2312" w:eastAsia="仿宋_GB2312"/>
          <w:b w:val="0"/>
          <w:sz w:val="32"/>
        </w:rPr>
        <w:t>其中：年初财政拨款结转和结余0.00万元，本年财政拨款收入714.83万元。</w:t>
      </w:r>
      <w:r>
        <w:rPr>
          <w:rFonts w:ascii="仿宋_GB2312" w:hAnsi="仿宋_GB2312" w:eastAsia="仿宋_GB2312"/>
          <w:b/>
          <w:sz w:val="32"/>
        </w:rPr>
        <w:t>财政拨款支出总计714.83万元，</w:t>
      </w:r>
      <w:r>
        <w:rPr>
          <w:rFonts w:ascii="仿宋_GB2312" w:hAnsi="仿宋_GB2312" w:eastAsia="仿宋_GB2312"/>
          <w:b w:val="0"/>
          <w:sz w:val="32"/>
        </w:rPr>
        <w:t>其中：年末财政拨款结转和结余0.00万元，本年财政拨款支出714.83万元。</w:t>
      </w:r>
    </w:p>
    <w:p w14:paraId="790E3A4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减少281.90万元，下降28.28%，主要原因是：本年减少职业学校办公费用；减少支付以前年度专项业务经费；减少专项工作人员补贴金额。</w:t>
      </w:r>
      <w:r>
        <w:rPr>
          <w:rFonts w:ascii="仿宋_GB2312" w:hAnsi="仿宋_GB2312" w:eastAsia="仿宋_GB2312"/>
          <w:b/>
          <w:sz w:val="32"/>
        </w:rPr>
        <w:t>与年初预算相比，</w:t>
      </w:r>
      <w:r>
        <w:rPr>
          <w:rFonts w:ascii="仿宋_GB2312" w:hAnsi="仿宋_GB2312" w:eastAsia="仿宋_GB2312"/>
          <w:b w:val="0"/>
          <w:sz w:val="32"/>
        </w:rPr>
        <w:t>年初预算数658.98万元，决算数714.83万元，预决算差异率8.48%，主要原因是：本年在职人员增加，年中追加人员经费及人员工资、社保、公积金基数调增部分资金，导致预决算存在差异。</w:t>
      </w:r>
    </w:p>
    <w:p w14:paraId="1BC9A55A">
      <w:pPr>
        <w:spacing w:line="640" w:lineRule="exact"/>
        <w:ind w:firstLine="640"/>
        <w:jc w:val="both"/>
        <w:outlineLvl w:val="2"/>
      </w:pPr>
      <w:r>
        <w:rPr>
          <w:rFonts w:ascii="黑体" w:hAnsi="黑体" w:eastAsia="黑体"/>
          <w:sz w:val="32"/>
        </w:rPr>
        <w:t>五、一般公共预算财政拨款支出决算情况说明</w:t>
      </w:r>
    </w:p>
    <w:p w14:paraId="36CDD251">
      <w:pPr>
        <w:spacing w:line="640" w:lineRule="exact"/>
        <w:ind w:firstLine="640"/>
        <w:jc w:val="both"/>
        <w:outlineLvl w:val="3"/>
      </w:pPr>
      <w:r>
        <w:rPr>
          <w:rFonts w:ascii="楷体_GB2312" w:hAnsi="楷体_GB2312" w:eastAsia="楷体_GB2312"/>
          <w:b/>
          <w:sz w:val="32"/>
        </w:rPr>
        <w:t>（一）一般公共预算财政拨款支出决算总体情况</w:t>
      </w:r>
    </w:p>
    <w:p w14:paraId="35D91A66">
      <w:pPr>
        <w:spacing w:line="580" w:lineRule="exact"/>
        <w:ind w:firstLine="640"/>
        <w:jc w:val="both"/>
      </w:pPr>
      <w:r>
        <w:rPr>
          <w:rFonts w:ascii="仿宋_GB2312" w:hAnsi="仿宋_GB2312" w:eastAsia="仿宋_GB2312"/>
          <w:b/>
          <w:sz w:val="32"/>
        </w:rPr>
        <w:t>2024年度一般公共预算财政拨款支出714.83万元，</w:t>
      </w:r>
      <w:r>
        <w:rPr>
          <w:rFonts w:ascii="仿宋_GB2312" w:hAnsi="仿宋_GB2312" w:eastAsia="仿宋_GB2312"/>
          <w:b w:val="0"/>
          <w:sz w:val="32"/>
        </w:rPr>
        <w:t>占本年支出合计的98.62%。</w:t>
      </w:r>
      <w:r>
        <w:rPr>
          <w:rFonts w:ascii="仿宋_GB2312" w:hAnsi="仿宋_GB2312" w:eastAsia="仿宋_GB2312"/>
          <w:b/>
          <w:sz w:val="32"/>
        </w:rPr>
        <w:t>与上年相比，</w:t>
      </w:r>
      <w:r>
        <w:rPr>
          <w:rFonts w:ascii="仿宋_GB2312" w:hAnsi="仿宋_GB2312" w:eastAsia="仿宋_GB2312"/>
          <w:b w:val="0"/>
          <w:sz w:val="32"/>
        </w:rPr>
        <w:t>减少281.90万元，下降28.28%，主要原因是：本年减少职业学校办公费用；减少支付以前年度专项业务经费；减少专项工作人员补贴金额。</w:t>
      </w:r>
      <w:r>
        <w:rPr>
          <w:rFonts w:ascii="仿宋_GB2312" w:hAnsi="仿宋_GB2312" w:eastAsia="仿宋_GB2312"/>
          <w:b/>
          <w:sz w:val="32"/>
        </w:rPr>
        <w:t>与年初预算相比,</w:t>
      </w:r>
      <w:r>
        <w:rPr>
          <w:rFonts w:ascii="仿宋_GB2312" w:hAnsi="仿宋_GB2312" w:eastAsia="仿宋_GB2312"/>
          <w:b w:val="0"/>
          <w:sz w:val="32"/>
        </w:rPr>
        <w:t>年初预算数658.98万元，决算数714.83万元，预决算差异率8.48%，主要原因是：本年在职人员增加，年中追加人员经费及人员工资、社保、公积金基数调增部分资金，导致预决算存在差异。</w:t>
      </w:r>
    </w:p>
    <w:p w14:paraId="6DA24F6E">
      <w:pPr>
        <w:spacing w:line="640" w:lineRule="exact"/>
        <w:ind w:firstLine="640"/>
        <w:jc w:val="both"/>
        <w:outlineLvl w:val="3"/>
      </w:pPr>
      <w:r>
        <w:rPr>
          <w:rFonts w:ascii="楷体_GB2312" w:hAnsi="楷体_GB2312" w:eastAsia="楷体_GB2312"/>
          <w:b/>
          <w:sz w:val="32"/>
        </w:rPr>
        <w:t>（二）一般公共预算财政拨款支出决算结构情况</w:t>
      </w:r>
    </w:p>
    <w:p w14:paraId="15F18ABF">
      <w:pPr>
        <w:spacing w:line="580" w:lineRule="exact"/>
        <w:ind w:firstLine="640"/>
        <w:jc w:val="both"/>
      </w:pPr>
      <w:r>
        <w:rPr>
          <w:rFonts w:ascii="仿宋_GB2312" w:hAnsi="仿宋_GB2312" w:eastAsia="仿宋_GB2312"/>
          <w:b w:val="0"/>
          <w:sz w:val="32"/>
        </w:rPr>
        <w:t>1.一般公共服务支出(类)518.41万元,占72.52%。</w:t>
      </w:r>
    </w:p>
    <w:p w14:paraId="40C28E38">
      <w:pPr>
        <w:spacing w:line="580" w:lineRule="exact"/>
        <w:ind w:firstLine="640"/>
        <w:jc w:val="both"/>
      </w:pPr>
      <w:r>
        <w:rPr>
          <w:rFonts w:ascii="仿宋_GB2312" w:hAnsi="仿宋_GB2312" w:eastAsia="仿宋_GB2312"/>
          <w:b w:val="0"/>
          <w:sz w:val="32"/>
        </w:rPr>
        <w:t>2.教育支出(类)50.00万元,占6.99%。</w:t>
      </w:r>
    </w:p>
    <w:p w14:paraId="1B606553">
      <w:pPr>
        <w:spacing w:line="580" w:lineRule="exact"/>
        <w:ind w:firstLine="640"/>
        <w:jc w:val="both"/>
      </w:pPr>
      <w:r>
        <w:rPr>
          <w:rFonts w:ascii="仿宋_GB2312" w:hAnsi="仿宋_GB2312" w:eastAsia="仿宋_GB2312"/>
          <w:b w:val="0"/>
          <w:sz w:val="32"/>
        </w:rPr>
        <w:t>3.社会保障和就业支出(类)67.55万元,占9.45%。</w:t>
      </w:r>
    </w:p>
    <w:p w14:paraId="47897057">
      <w:pPr>
        <w:spacing w:line="580" w:lineRule="exact"/>
        <w:ind w:firstLine="640"/>
        <w:jc w:val="both"/>
      </w:pPr>
      <w:r>
        <w:rPr>
          <w:rFonts w:ascii="仿宋_GB2312" w:hAnsi="仿宋_GB2312" w:eastAsia="仿宋_GB2312"/>
          <w:b w:val="0"/>
          <w:sz w:val="32"/>
        </w:rPr>
        <w:t>4.卫生健康支出(类)27.71万元,占3.88%。</w:t>
      </w:r>
    </w:p>
    <w:p w14:paraId="136FAD75">
      <w:pPr>
        <w:spacing w:line="580" w:lineRule="exact"/>
        <w:ind w:firstLine="640"/>
        <w:jc w:val="both"/>
      </w:pPr>
      <w:r>
        <w:rPr>
          <w:rFonts w:ascii="仿宋_GB2312" w:hAnsi="仿宋_GB2312" w:eastAsia="仿宋_GB2312"/>
          <w:b w:val="0"/>
          <w:sz w:val="32"/>
        </w:rPr>
        <w:t>5.住房保障支出(类)51.15万元,占7.16%。</w:t>
      </w:r>
    </w:p>
    <w:p w14:paraId="70A62A6F">
      <w:pPr>
        <w:spacing w:line="640" w:lineRule="exact"/>
        <w:ind w:firstLine="640"/>
        <w:jc w:val="both"/>
        <w:outlineLvl w:val="3"/>
      </w:pPr>
      <w:r>
        <w:rPr>
          <w:rFonts w:ascii="楷体_GB2312" w:hAnsi="楷体_GB2312" w:eastAsia="楷体_GB2312"/>
          <w:b/>
          <w:sz w:val="32"/>
        </w:rPr>
        <w:t>（三）一般公共预算财政拨款支出决算具体情况</w:t>
      </w:r>
    </w:p>
    <w:p w14:paraId="7276BD06">
      <w:pPr>
        <w:spacing w:line="580" w:lineRule="exact"/>
        <w:ind w:firstLine="640"/>
        <w:jc w:val="both"/>
      </w:pPr>
      <w:r>
        <w:rPr>
          <w:rFonts w:ascii="仿宋_GB2312" w:hAnsi="仿宋_GB2312" w:eastAsia="仿宋_GB2312"/>
          <w:b w:val="0"/>
          <w:sz w:val="32"/>
        </w:rPr>
        <w:t>1.一般公共服务支出(类)其他共产党事务支出(款)行政运行(项):支出决算数为320.75万元，比上年决算减少93.60万元，下降22.59%,主要原因是：2024年度专项工作人员补贴金额减少。</w:t>
      </w:r>
    </w:p>
    <w:p w14:paraId="24610169">
      <w:pPr>
        <w:spacing w:line="580" w:lineRule="exact"/>
        <w:ind w:firstLine="640"/>
        <w:jc w:val="both"/>
      </w:pPr>
      <w:r>
        <w:rPr>
          <w:rFonts w:ascii="仿宋_GB2312" w:hAnsi="仿宋_GB2312" w:eastAsia="仿宋_GB2312"/>
          <w:b w:val="0"/>
          <w:sz w:val="32"/>
        </w:rPr>
        <w:t>2.一般公共服务支出(类)其他共产党事务支出(款)其他共产党事务支出(项):支出决算数为0.00万元，比上年决算减少170.97万元，下降100.00%,主要原因是：上年度支付以前年度专项业务经费，2024年度无此科目经费支出。</w:t>
      </w:r>
    </w:p>
    <w:p w14:paraId="036DB53B">
      <w:pPr>
        <w:spacing w:line="580" w:lineRule="exact"/>
        <w:ind w:firstLine="640"/>
        <w:jc w:val="both"/>
      </w:pPr>
      <w:r>
        <w:rPr>
          <w:rFonts w:ascii="仿宋_GB2312" w:hAnsi="仿宋_GB2312" w:eastAsia="仿宋_GB2312"/>
          <w:b w:val="0"/>
          <w:sz w:val="32"/>
        </w:rPr>
        <w:t>3.一般公共服务支出(类)网信事务(款)行政运行(项):支出决算数为197.67万元，比上年决算增加8.94万元，增长4.74%,主要原因是：本年新增在职人员，人员经费增加，导致经费较上年有所增加。</w:t>
      </w:r>
    </w:p>
    <w:p w14:paraId="28F7452D">
      <w:pPr>
        <w:spacing w:line="580" w:lineRule="exact"/>
        <w:ind w:firstLine="640"/>
        <w:jc w:val="both"/>
      </w:pPr>
      <w:r>
        <w:rPr>
          <w:rFonts w:ascii="仿宋_GB2312" w:hAnsi="仿宋_GB2312" w:eastAsia="仿宋_GB2312"/>
          <w:b w:val="0"/>
          <w:sz w:val="32"/>
        </w:rPr>
        <w:t>4.教育支出(类)教育费附加安排的支出(款)中等职业学校教学设施(项):支出决算数为50.00万元，比上年决算增加8.73万元，增长21.15%,主要原因是：本年新增职业学校设施还款费用。</w:t>
      </w:r>
    </w:p>
    <w:p w14:paraId="25545DD2">
      <w:pPr>
        <w:spacing w:line="580" w:lineRule="exact"/>
        <w:ind w:firstLine="640"/>
        <w:jc w:val="both"/>
      </w:pPr>
      <w:r>
        <w:rPr>
          <w:rFonts w:ascii="仿宋_GB2312" w:hAnsi="仿宋_GB2312" w:eastAsia="仿宋_GB2312"/>
          <w:b w:val="0"/>
          <w:sz w:val="32"/>
        </w:rPr>
        <w:t>5.科学技术支出(类)技术研究与开发(款)科技成果转化与扩散(项):支出决算数为0.00万元，比上年决算减少50.53万元，下降100.00%,主要原因是：本年减少职业学校办公费用。</w:t>
      </w:r>
    </w:p>
    <w:p w14:paraId="776E70E8">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基本养老保险缴费支出(项):支出决算数为67.55万元，比上年决算增加9.30万元，增长15.97%,主要原因是：本年在职人员增加，养老保险缴费较上年增加。</w:t>
      </w:r>
    </w:p>
    <w:p w14:paraId="00960554">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医疗(项):支出决算数为26.98万元，比上年决算增加0.79万元，增长3.02%,主要原因是：本年在职人员增加，行政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2373E1F1">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医疗(款)公务员医疗补助(项):支出决算数为0.21万元，比上年决算增加0.02万元，增长10.53%,主要原因是：本年在职人员工资基数调增，医疗缴费基数上涨，相应支出增加。</w:t>
      </w:r>
    </w:p>
    <w:p w14:paraId="5826D373">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医疗支出(项):支出决算数为0.52万元，比上年决算减少0.10万元，下降16.13%,主要原因是：因退休人员医疗保险制度改革，退休人员基本医疗不再由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44326D5A">
      <w:pPr>
        <w:spacing w:line="580" w:lineRule="exact"/>
        <w:ind w:firstLine="640"/>
        <w:jc w:val="both"/>
      </w:pPr>
      <w:r>
        <w:rPr>
          <w:rFonts w:ascii="仿宋_GB2312" w:hAnsi="仿宋_GB2312" w:eastAsia="仿宋_GB2312"/>
          <w:b w:val="0"/>
          <w:sz w:val="32"/>
        </w:rPr>
        <w:t>10.住房保障支出(类)住房改革支出(款)住房公积金(项):支出决算数为51.15万元，比上年决算增加5.53万元，增长12.12%,主要原因是：本年在职人员增加，住房公积金支出较上年增加。</w:t>
      </w:r>
    </w:p>
    <w:p w14:paraId="196CA5B8">
      <w:pPr>
        <w:spacing w:line="640" w:lineRule="exact"/>
        <w:ind w:firstLine="640"/>
        <w:jc w:val="both"/>
        <w:outlineLvl w:val="2"/>
      </w:pPr>
      <w:r>
        <w:rPr>
          <w:rFonts w:ascii="黑体" w:hAnsi="黑体" w:eastAsia="黑体"/>
          <w:sz w:val="32"/>
        </w:rPr>
        <w:t>六、一般公共预算财政拨款基本支出决算情况说明</w:t>
      </w:r>
    </w:p>
    <w:p w14:paraId="6E14C8BC">
      <w:pPr>
        <w:spacing w:line="580" w:lineRule="exact"/>
        <w:ind w:firstLine="640"/>
        <w:jc w:val="both"/>
      </w:pPr>
      <w:r>
        <w:rPr>
          <w:rFonts w:ascii="仿宋_GB2312" w:hAnsi="仿宋_GB2312" w:eastAsia="仿宋_GB2312"/>
          <w:b w:val="0"/>
          <w:sz w:val="32"/>
        </w:rPr>
        <w:t>2024年度一般公共预算财政拨款基本支出664.83万元，其中：</w:t>
      </w:r>
      <w:r>
        <w:rPr>
          <w:rFonts w:ascii="仿宋_GB2312" w:hAnsi="仿宋_GB2312" w:eastAsia="仿宋_GB2312"/>
          <w:b/>
          <w:sz w:val="32"/>
        </w:rPr>
        <w:t>人员经费626.61万元，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w:t>
      </w:r>
    </w:p>
    <w:p w14:paraId="34C72743">
      <w:pPr>
        <w:spacing w:line="580" w:lineRule="exact"/>
        <w:ind w:firstLine="640"/>
        <w:jc w:val="both"/>
      </w:pPr>
      <w:r>
        <w:rPr>
          <w:rFonts w:ascii="仿宋_GB2312" w:hAnsi="仿宋_GB2312" w:eastAsia="仿宋_GB2312"/>
          <w:b/>
          <w:sz w:val="32"/>
        </w:rPr>
        <w:t>公用经费38.22万元，</w:t>
      </w:r>
      <w:r>
        <w:rPr>
          <w:rFonts w:ascii="仿宋_GB2312" w:hAnsi="仿宋_GB2312" w:eastAsia="仿宋_GB2312"/>
          <w:b w:val="0"/>
          <w:sz w:val="32"/>
        </w:rPr>
        <w:t>包括：办公费、邮电费、差旅费、维修（护）费、专用燃料费、工会经费、公务用车运行维护费、其他交通费用。</w:t>
      </w:r>
    </w:p>
    <w:p w14:paraId="608A10BF">
      <w:pPr>
        <w:spacing w:line="640" w:lineRule="exact"/>
        <w:ind w:firstLine="640"/>
        <w:jc w:val="both"/>
        <w:outlineLvl w:val="2"/>
      </w:pPr>
      <w:r>
        <w:rPr>
          <w:rFonts w:ascii="黑体" w:hAnsi="黑体" w:eastAsia="黑体"/>
          <w:sz w:val="32"/>
        </w:rPr>
        <w:t>七、政府性基金预算财政拨款收入支出决算情况说明</w:t>
      </w:r>
    </w:p>
    <w:p w14:paraId="18B3E6A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48A8D11">
      <w:pPr>
        <w:spacing w:line="640" w:lineRule="exact"/>
        <w:ind w:firstLine="640"/>
        <w:jc w:val="both"/>
        <w:outlineLvl w:val="2"/>
      </w:pPr>
      <w:r>
        <w:rPr>
          <w:rFonts w:ascii="黑体" w:hAnsi="黑体" w:eastAsia="黑体"/>
          <w:sz w:val="32"/>
        </w:rPr>
        <w:t>八、国有资本经营预算财政拨款收入支出决算情况说明</w:t>
      </w:r>
    </w:p>
    <w:p w14:paraId="2F98ED7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289A0D2">
      <w:pPr>
        <w:spacing w:line="640" w:lineRule="exact"/>
        <w:ind w:firstLine="640"/>
        <w:jc w:val="both"/>
        <w:outlineLvl w:val="2"/>
      </w:pPr>
      <w:r>
        <w:rPr>
          <w:rFonts w:ascii="黑体" w:hAnsi="黑体" w:eastAsia="黑体"/>
          <w:sz w:val="32"/>
        </w:rPr>
        <w:t>九、财政拨款“三公”经费支出决算情况说明</w:t>
      </w:r>
    </w:p>
    <w:p w14:paraId="436A9A87">
      <w:pPr>
        <w:spacing w:line="580" w:lineRule="exact"/>
        <w:ind w:firstLine="640"/>
        <w:jc w:val="both"/>
      </w:pPr>
      <w:r>
        <w:rPr>
          <w:rFonts w:ascii="仿宋_GB2312" w:hAnsi="仿宋_GB2312" w:eastAsia="仿宋_GB2312"/>
          <w:b/>
          <w:sz w:val="32"/>
        </w:rPr>
        <w:t>2024年度财政拨款“三公”经费支出3.70万元，</w:t>
      </w:r>
      <w:r>
        <w:rPr>
          <w:rFonts w:ascii="仿宋_GB2312" w:hAnsi="仿宋_GB2312" w:eastAsia="仿宋_GB2312"/>
          <w:b w:val="0"/>
          <w:sz w:val="32"/>
        </w:rPr>
        <w:t>比上年减少0.10万元，下降2.63%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3.70万元，占100.00%，比上年减少0.10万元，下降2.63%，主要原因是：严格落实中央八项规定精神，厉行节约，减少公务用车运行维护费。公务接待费支出0.00万元，占0.00%，比上年增加0.00万元，增长0.00%，主要原因是：2023年与2024年均未安排公务接待费支出。</w:t>
      </w:r>
    </w:p>
    <w:p w14:paraId="06EA6BD2">
      <w:pPr>
        <w:spacing w:line="580" w:lineRule="exact"/>
        <w:ind w:firstLine="640"/>
        <w:jc w:val="both"/>
      </w:pPr>
      <w:r>
        <w:rPr>
          <w:rFonts w:ascii="仿宋_GB2312" w:hAnsi="仿宋_GB2312" w:eastAsia="仿宋_GB2312"/>
          <w:b/>
          <w:sz w:val="32"/>
        </w:rPr>
        <w:t>具体情况如下：</w:t>
      </w:r>
    </w:p>
    <w:p w14:paraId="5EDE4D1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29CFC96">
      <w:pPr>
        <w:spacing w:line="580" w:lineRule="exact"/>
        <w:ind w:firstLine="640"/>
        <w:jc w:val="both"/>
      </w:pPr>
      <w:r>
        <w:rPr>
          <w:rFonts w:ascii="仿宋_GB2312" w:hAnsi="仿宋_GB2312" w:eastAsia="仿宋_GB2312"/>
          <w:b w:val="0"/>
          <w:sz w:val="32"/>
        </w:rPr>
        <w:t>公务用车购置及运行维护费3.70万元，其中：公务用车购置费0.00万元，公务用车运行维护费3.70万元。公务用车运行维护费开支内容包括车辆加油费、维修费、保险费、审车费。公务用车购置数0辆，公务用车保有量15辆。国有资产占用情况中固定资产车辆15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0AD64FE">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790172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3.70万元，决算数3.70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3.70万元，决算数3.70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575116E">
      <w:pPr>
        <w:spacing w:line="640" w:lineRule="exact"/>
        <w:ind w:firstLine="640"/>
        <w:jc w:val="both"/>
        <w:outlineLvl w:val="2"/>
      </w:pPr>
      <w:r>
        <w:rPr>
          <w:rFonts w:ascii="黑体" w:hAnsi="黑体" w:eastAsia="黑体"/>
          <w:sz w:val="32"/>
        </w:rPr>
        <w:t>十、其他重要事项的情况说明</w:t>
      </w:r>
    </w:p>
    <w:p w14:paraId="3920E5A1">
      <w:pPr>
        <w:spacing w:line="640" w:lineRule="exact"/>
        <w:ind w:firstLine="640"/>
        <w:jc w:val="both"/>
        <w:outlineLvl w:val="3"/>
      </w:pPr>
      <w:r>
        <w:rPr>
          <w:rFonts w:ascii="楷体_GB2312" w:hAnsi="楷体_GB2312" w:eastAsia="楷体_GB2312"/>
          <w:b/>
          <w:sz w:val="32"/>
        </w:rPr>
        <w:t>（一）机关运行经费及公用经费支出情况</w:t>
      </w:r>
    </w:p>
    <w:p w14:paraId="25D76C3F">
      <w:pPr>
        <w:spacing w:line="580" w:lineRule="exact"/>
        <w:ind w:firstLine="640"/>
        <w:jc w:val="both"/>
      </w:pPr>
      <w:r>
        <w:rPr>
          <w:rFonts w:ascii="仿宋_GB2312" w:hAnsi="仿宋_GB2312" w:eastAsia="仿宋_GB2312"/>
          <w:b w:val="0"/>
          <w:sz w:val="32"/>
        </w:rPr>
        <w:t>2024年度中共特克斯县委员会政法委员会（行政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）机关运行经费支出38.22万元，比上年减少263.77万元，下降87.34%，主要原因是：本年减少职业学校办公费用</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导致公用经费减少</w:t>
      </w:r>
      <w:r>
        <w:rPr>
          <w:rFonts w:ascii="仿宋_GB2312" w:hAnsi="仿宋_GB2312" w:eastAsia="仿宋_GB2312"/>
          <w:b w:val="0"/>
          <w:sz w:val="32"/>
        </w:rPr>
        <w:t>。</w:t>
      </w:r>
    </w:p>
    <w:p w14:paraId="7FF7157C">
      <w:pPr>
        <w:spacing w:line="640" w:lineRule="exact"/>
        <w:ind w:firstLine="640"/>
        <w:jc w:val="both"/>
        <w:outlineLvl w:val="3"/>
      </w:pPr>
      <w:r>
        <w:rPr>
          <w:rFonts w:ascii="楷体_GB2312" w:hAnsi="楷体_GB2312" w:eastAsia="楷体_GB2312"/>
          <w:b/>
          <w:sz w:val="32"/>
        </w:rPr>
        <w:t>（二）政府采购情况</w:t>
      </w:r>
    </w:p>
    <w:p w14:paraId="27809B8D">
      <w:pPr>
        <w:spacing w:line="580" w:lineRule="exact"/>
        <w:ind w:firstLine="640"/>
        <w:jc w:val="both"/>
      </w:pPr>
      <w:r>
        <w:rPr>
          <w:rFonts w:ascii="仿宋_GB2312" w:hAnsi="仿宋_GB2312" w:eastAsia="仿宋_GB2312"/>
          <w:b w:val="0"/>
          <w:sz w:val="32"/>
        </w:rPr>
        <w:t>2024年度政府采购支出总额2.53万元，其中：政府采购货物支出0.30万元、政府采购工程支出0.00万元、政府采购服务支出2.23万元。</w:t>
      </w:r>
    </w:p>
    <w:p w14:paraId="40EF6937">
      <w:pPr>
        <w:spacing w:line="580" w:lineRule="exact"/>
        <w:ind w:firstLine="640"/>
        <w:jc w:val="both"/>
      </w:pPr>
      <w:r>
        <w:rPr>
          <w:rFonts w:ascii="仿宋_GB2312" w:hAnsi="仿宋_GB2312" w:eastAsia="仿宋_GB2312"/>
          <w:b w:val="0"/>
          <w:sz w:val="32"/>
        </w:rPr>
        <w:t>授予中小企业合同金额2.53万元，占政府采购支出总额的100.00%，其中：授予小微企业合同金额2.53万元，占政府采购支出总额的100.00%。</w:t>
      </w:r>
    </w:p>
    <w:p w14:paraId="6E66CE40">
      <w:pPr>
        <w:spacing w:line="640" w:lineRule="exact"/>
        <w:ind w:firstLine="640"/>
        <w:jc w:val="both"/>
        <w:outlineLvl w:val="3"/>
      </w:pPr>
      <w:r>
        <w:rPr>
          <w:rFonts w:ascii="楷体_GB2312" w:hAnsi="楷体_GB2312" w:eastAsia="楷体_GB2312"/>
          <w:b/>
          <w:sz w:val="32"/>
        </w:rPr>
        <w:t>（三）国有资产占用情况说明</w:t>
      </w:r>
    </w:p>
    <w:p w14:paraId="0CDFA12A">
      <w:pPr>
        <w:spacing w:line="580" w:lineRule="exact"/>
        <w:ind w:firstLine="640"/>
        <w:jc w:val="both"/>
      </w:pPr>
      <w:r>
        <w:rPr>
          <w:rFonts w:ascii="仿宋_GB2312" w:hAnsi="仿宋_GB2312" w:eastAsia="仿宋_GB2312"/>
          <w:b w:val="0"/>
          <w:sz w:val="32"/>
        </w:rPr>
        <w:t>截至2024年12月31日，房屋0.00平方米，价值0.00万元。车辆15辆，价值128.87万元，其中：副部（省）级及以上领导用车0辆、主要负责人用车0辆、机要通信用车0辆、应急保障用车0辆、执法执勤用车0辆、特种专业技术用车0辆、离退休干部服务用车0辆、其他用车15辆，其他用车主要是：其中10辆车用于乡镇综治中心开展日常安保的业务用车；4辆车用于政法委流动人口、重点人员走访等业务用车；1辆车用于网信办网络巡查业务用车。单价100万元（含）以上设备（不含车辆）0台（套）。</w:t>
      </w:r>
    </w:p>
    <w:p w14:paraId="53197B5F">
      <w:pPr>
        <w:spacing w:line="640" w:lineRule="exact"/>
        <w:ind w:firstLine="640"/>
        <w:jc w:val="both"/>
        <w:outlineLvl w:val="2"/>
      </w:pPr>
      <w:r>
        <w:rPr>
          <w:rFonts w:ascii="黑体" w:hAnsi="黑体" w:eastAsia="黑体"/>
          <w:sz w:val="32"/>
        </w:rPr>
        <w:t>十一、预算绩效的情况说明</w:t>
      </w:r>
    </w:p>
    <w:p w14:paraId="3DF8F9B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w:t>
      </w:r>
      <w:r>
        <w:rPr>
          <w:rFonts w:hint="eastAsia" w:ascii="仿宋_GB2312" w:hAnsi="仿宋_GB2312" w:eastAsia="仿宋_GB2312"/>
          <w:b w:val="0"/>
          <w:sz w:val="32"/>
        </w:rPr>
        <w:t>724.83</w:t>
      </w:r>
      <w:r>
        <w:rPr>
          <w:rFonts w:ascii="仿宋_GB2312" w:hAnsi="仿宋_GB2312" w:eastAsia="仿宋_GB2312"/>
          <w:b w:val="0"/>
          <w:sz w:val="32"/>
        </w:rPr>
        <w:t>万元，实际执行总额</w:t>
      </w:r>
      <w:r>
        <w:rPr>
          <w:rFonts w:hint="eastAsia" w:ascii="仿宋_GB2312" w:hAnsi="仿宋_GB2312" w:eastAsia="仿宋_GB2312"/>
          <w:b w:val="0"/>
          <w:sz w:val="32"/>
        </w:rPr>
        <w:t>724.83</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个，全年预算数24.40万元，全年执行数24.40万元。预算绩效管理取得的成效：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项目绩效自评表涉密不予公开。发现的问题及原因：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项目绩效自评表涉密不予公开。下一步改进措施：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项目绩效自评表涉密不予公开。</w:t>
      </w:r>
    </w:p>
    <w:p w14:paraId="148DB5A8">
      <w:r>
        <w:br w:type="page"/>
      </w:r>
    </w:p>
    <w:p w14:paraId="4CE8F4F5">
      <w:pPr>
        <w:spacing w:line="640" w:lineRule="exact"/>
        <w:ind w:firstLine="640"/>
        <w:jc w:val="both"/>
        <w:outlineLvl w:val="2"/>
      </w:pPr>
      <w:r>
        <w:rPr>
          <w:rFonts w:ascii="黑体" w:hAnsi="黑体" w:eastAsia="黑体"/>
          <w:sz w:val="32"/>
        </w:rPr>
        <w:t>十二、其他需说明的事项</w:t>
      </w:r>
    </w:p>
    <w:p w14:paraId="0B144AFA">
      <w:pPr>
        <w:spacing w:line="580" w:lineRule="exact"/>
        <w:ind w:firstLine="640"/>
        <w:jc w:val="both"/>
      </w:pPr>
      <w:r>
        <w:rPr>
          <w:rFonts w:ascii="仿宋_GB2312" w:hAnsi="仿宋_GB2312" w:eastAsia="仿宋_GB2312"/>
          <w:b w:val="0"/>
          <w:sz w:val="32"/>
        </w:rPr>
        <w:t>本年度本</w:t>
      </w:r>
      <w:r>
        <w:rPr>
          <w:rFonts w:hint="eastAsia" w:ascii="仿宋_GB2312" w:hAnsi="仿宋_GB2312" w:eastAsia="仿宋_GB2312"/>
          <w:b w:val="0"/>
          <w:sz w:val="32"/>
          <w:lang w:eastAsia="zh-CN"/>
        </w:rPr>
        <w:t>单位</w:t>
      </w:r>
      <w:r>
        <w:rPr>
          <w:rFonts w:ascii="仿宋_GB2312" w:hAnsi="仿宋_GB2312" w:eastAsia="仿宋_GB2312"/>
          <w:b w:val="0"/>
          <w:sz w:val="32"/>
        </w:rPr>
        <w:t>整体绩效自评表不予公开。</w:t>
      </w:r>
    </w:p>
    <w:p w14:paraId="11C294FA">
      <w:pPr>
        <w:spacing w:line="580" w:lineRule="exact"/>
        <w:ind w:firstLine="640"/>
        <w:jc w:val="both"/>
      </w:pPr>
      <w:r>
        <w:rPr>
          <w:rFonts w:ascii="仿宋_GB2312" w:hAnsi="仿宋_GB2312" w:eastAsia="仿宋_GB2312"/>
          <w:b w:val="0"/>
          <w:sz w:val="32"/>
        </w:rPr>
        <w:t>本年本</w:t>
      </w:r>
      <w:r>
        <w:rPr>
          <w:rFonts w:hint="eastAsia" w:ascii="仿宋_GB2312" w:hAnsi="仿宋_GB2312" w:eastAsia="仿宋_GB2312"/>
          <w:b w:val="0"/>
          <w:sz w:val="32"/>
          <w:lang w:eastAsia="zh-CN"/>
        </w:rPr>
        <w:t>单位</w:t>
      </w:r>
      <w:r>
        <w:rPr>
          <w:rFonts w:ascii="仿宋_GB2312" w:hAnsi="仿宋_GB2312" w:eastAsia="仿宋_GB2312"/>
          <w:b w:val="0"/>
          <w:sz w:val="32"/>
        </w:rPr>
        <w:t>SM项目2个，全年预算数24.40万元，全年执行数24.40万元。</w:t>
      </w:r>
    </w:p>
    <w:p w14:paraId="66232A02">
      <w:r>
        <w:br w:type="page"/>
      </w:r>
    </w:p>
    <w:p w14:paraId="05B95C94">
      <w:pPr>
        <w:spacing w:line="240" w:lineRule="auto"/>
        <w:jc w:val="center"/>
        <w:outlineLvl w:val="1"/>
      </w:pPr>
      <w:r>
        <w:rPr>
          <w:rFonts w:ascii="黑体" w:hAnsi="黑体" w:eastAsia="黑体"/>
          <w:sz w:val="32"/>
        </w:rPr>
        <w:t>第三部分 专业名词解释</w:t>
      </w:r>
    </w:p>
    <w:p w14:paraId="753C4E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E74F2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248F04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3F0354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D8FB32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4ED863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501199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D778B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F5E3D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A6E73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94A2E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556F910">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F1C421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D6513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2BA961A">
      <w:r>
        <w:br w:type="page"/>
      </w:r>
    </w:p>
    <w:p w14:paraId="45A98535">
      <w:pPr>
        <w:spacing w:line="240" w:lineRule="auto"/>
        <w:jc w:val="center"/>
        <w:outlineLvl w:val="1"/>
      </w:pPr>
      <w:r>
        <w:rPr>
          <w:rFonts w:ascii="黑体" w:hAnsi="黑体" w:eastAsia="黑体"/>
          <w:sz w:val="32"/>
        </w:rPr>
        <w:t>第四部分 部门决算报表（见附表）</w:t>
      </w:r>
    </w:p>
    <w:p w14:paraId="7A77E702">
      <w:pPr>
        <w:spacing w:line="240" w:lineRule="auto"/>
        <w:ind w:firstLine="640"/>
        <w:jc w:val="both"/>
      </w:pPr>
      <w:r>
        <w:rPr>
          <w:rFonts w:ascii="仿宋_GB2312" w:hAnsi="仿宋_GB2312" w:eastAsia="仿宋_GB2312"/>
          <w:b w:val="0"/>
          <w:sz w:val="32"/>
        </w:rPr>
        <w:t>一、《收入支出决算总表》</w:t>
      </w:r>
    </w:p>
    <w:p w14:paraId="30688979">
      <w:pPr>
        <w:spacing w:line="240" w:lineRule="auto"/>
        <w:ind w:firstLine="640"/>
        <w:jc w:val="both"/>
      </w:pPr>
      <w:r>
        <w:rPr>
          <w:rFonts w:ascii="仿宋_GB2312" w:hAnsi="仿宋_GB2312" w:eastAsia="仿宋_GB2312"/>
          <w:b w:val="0"/>
          <w:sz w:val="32"/>
        </w:rPr>
        <w:t>二、《收入决算表》</w:t>
      </w:r>
    </w:p>
    <w:p w14:paraId="64BFE9E6">
      <w:pPr>
        <w:spacing w:line="240" w:lineRule="auto"/>
        <w:ind w:firstLine="640"/>
        <w:jc w:val="both"/>
      </w:pPr>
      <w:r>
        <w:rPr>
          <w:rFonts w:ascii="仿宋_GB2312" w:hAnsi="仿宋_GB2312" w:eastAsia="仿宋_GB2312"/>
          <w:b w:val="0"/>
          <w:sz w:val="32"/>
        </w:rPr>
        <w:t>三、《支出决算表》</w:t>
      </w:r>
    </w:p>
    <w:p w14:paraId="40EDCDB6">
      <w:pPr>
        <w:spacing w:line="240" w:lineRule="auto"/>
        <w:ind w:firstLine="640"/>
        <w:jc w:val="both"/>
      </w:pPr>
      <w:r>
        <w:rPr>
          <w:rFonts w:ascii="仿宋_GB2312" w:hAnsi="仿宋_GB2312" w:eastAsia="仿宋_GB2312"/>
          <w:b w:val="0"/>
          <w:sz w:val="32"/>
        </w:rPr>
        <w:t>四、《财政拨款收入支出决算总表》</w:t>
      </w:r>
    </w:p>
    <w:p w14:paraId="0FA00ED1">
      <w:pPr>
        <w:spacing w:line="240" w:lineRule="auto"/>
        <w:ind w:firstLine="640"/>
        <w:jc w:val="both"/>
      </w:pPr>
      <w:r>
        <w:rPr>
          <w:rFonts w:ascii="仿宋_GB2312" w:hAnsi="仿宋_GB2312" w:eastAsia="仿宋_GB2312"/>
          <w:b w:val="0"/>
          <w:sz w:val="32"/>
        </w:rPr>
        <w:t>五、《一般公共预算财政拨款支出决算表》</w:t>
      </w:r>
    </w:p>
    <w:p w14:paraId="44FA5502">
      <w:pPr>
        <w:spacing w:line="240" w:lineRule="auto"/>
        <w:ind w:firstLine="640"/>
        <w:jc w:val="both"/>
      </w:pPr>
      <w:r>
        <w:rPr>
          <w:rFonts w:ascii="仿宋_GB2312" w:hAnsi="仿宋_GB2312" w:eastAsia="仿宋_GB2312"/>
          <w:b w:val="0"/>
          <w:sz w:val="32"/>
        </w:rPr>
        <w:t>六、《一般公共预算财政拨款基本支出决算表》</w:t>
      </w:r>
    </w:p>
    <w:p w14:paraId="779F761D">
      <w:pPr>
        <w:spacing w:line="240" w:lineRule="auto"/>
        <w:ind w:firstLine="640"/>
        <w:jc w:val="both"/>
      </w:pPr>
      <w:r>
        <w:rPr>
          <w:rFonts w:ascii="仿宋_GB2312" w:hAnsi="仿宋_GB2312" w:eastAsia="仿宋_GB2312"/>
          <w:b w:val="0"/>
          <w:sz w:val="32"/>
        </w:rPr>
        <w:t>七、《政府性基金预算财政拨款收入支出决算表》</w:t>
      </w:r>
    </w:p>
    <w:p w14:paraId="686C7B53">
      <w:pPr>
        <w:spacing w:line="240" w:lineRule="auto"/>
        <w:ind w:firstLine="640"/>
        <w:jc w:val="both"/>
      </w:pPr>
      <w:r>
        <w:rPr>
          <w:rFonts w:ascii="仿宋_GB2312" w:hAnsi="仿宋_GB2312" w:eastAsia="仿宋_GB2312"/>
          <w:b w:val="0"/>
          <w:sz w:val="32"/>
        </w:rPr>
        <w:t>八、《国有资本经营预算财政拨款收入支出决算表》</w:t>
      </w:r>
    </w:p>
    <w:p w14:paraId="2247FBBA">
      <w:pPr>
        <w:spacing w:line="240" w:lineRule="auto"/>
        <w:ind w:firstLine="640"/>
        <w:jc w:val="both"/>
      </w:pPr>
      <w:r>
        <w:rPr>
          <w:rFonts w:ascii="仿宋_GB2312" w:hAnsi="仿宋_GB2312" w:eastAsia="仿宋_GB2312"/>
          <w:b w:val="0"/>
          <w:sz w:val="32"/>
        </w:rPr>
        <w:t>九、《财政拨款“三公”经费支出决算表》</w:t>
      </w:r>
    </w:p>
    <w:p w14:paraId="6E30ED73">
      <w:pPr>
        <w:spacing w:line="240" w:lineRule="auto"/>
        <w:ind w:firstLine="640"/>
        <w:jc w:val="both"/>
      </w:pPr>
    </w:p>
    <w:p w14:paraId="37ABF2CE">
      <w:pPr>
        <w:spacing w:line="240" w:lineRule="auto"/>
        <w:ind w:firstLine="640"/>
        <w:jc w:val="both"/>
      </w:pPr>
    </w:p>
    <w:p w14:paraId="0B2EE70D">
      <w:pPr>
        <w:spacing w:line="240" w:lineRule="auto"/>
        <w:ind w:firstLine="640"/>
        <w:jc w:val="both"/>
      </w:pPr>
    </w:p>
    <w:p w14:paraId="225AE077">
      <w:pPr>
        <w:spacing w:line="240" w:lineRule="auto"/>
        <w:ind w:firstLine="640"/>
        <w:jc w:val="both"/>
      </w:pPr>
    </w:p>
    <w:p w14:paraId="652BB39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8A44B0"/>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090EDF"/>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890D7D"/>
    <w:rsid w:val="76660D7C"/>
    <w:rsid w:val="77D31AA6"/>
    <w:rsid w:val="77ED6F44"/>
    <w:rsid w:val="792B4BD8"/>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c1c429-6b44-4797-8dab-bd37ecc8b977}">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1563</Words>
  <Characters>1755</Characters>
  <Lines>0</Lines>
  <Paragraphs>0</Paragraphs>
  <TotalTime>6</TotalTime>
  <ScaleCrop>false</ScaleCrop>
  <LinksUpToDate>false</LinksUpToDate>
  <CharactersWithSpaces>1763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