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伊州财建[2024]81号伊犁州特克斯县</w:t>
      </w:r>
      <w:r>
        <w:rPr>
          <w:rFonts w:hint="eastAsia" w:ascii="方正小标宋简体" w:hAnsi="方正小标宋简体" w:eastAsia="方正小标宋简体" w:cs="方正小标宋简体"/>
          <w:kern w:val="0"/>
          <w:sz w:val="44"/>
          <w:szCs w:val="44"/>
          <w:lang w:val="en-US" w:eastAsia="zh-CN"/>
        </w:rPr>
        <w:t>齐勒乌泽克镇</w:t>
      </w:r>
      <w:r>
        <w:rPr>
          <w:rFonts w:hint="eastAsia" w:ascii="方正小标宋简体" w:hAnsi="方正小标宋简体" w:eastAsia="方正小标宋简体" w:cs="方正小标宋简体"/>
          <w:kern w:val="0"/>
          <w:sz w:val="44"/>
          <w:szCs w:val="44"/>
        </w:rPr>
        <w:t>2024年度牧民越冬放牧点生产用房（居住）建设项目项目支出绩效评价报告</w:t>
      </w:r>
    </w:p>
    <w:p>
      <w:pPr>
        <w:spacing w:line="540" w:lineRule="exact"/>
        <w:jc w:val="center"/>
        <w:rPr>
          <w:rFonts w:hint="default" w:ascii="方正小标宋简体" w:hAnsi="方正小标宋简体" w:eastAsia="方正小标宋简体" w:cs="方正小标宋简体"/>
          <w:kern w:val="0"/>
          <w:sz w:val="44"/>
          <w:szCs w:val="44"/>
        </w:rPr>
      </w:pPr>
    </w:p>
    <w:p>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pPr>
        <w:spacing w:line="540" w:lineRule="exact"/>
        <w:jc w:val="center"/>
        <w:rPr>
          <w:rFonts w:hint="default" w:ascii="Times New Roman" w:hAnsi="Times New Roman" w:eastAsia="仿宋_GB2312" w:cs="Times New Roman"/>
          <w:kern w:val="0"/>
          <w:sz w:val="32"/>
          <w:szCs w:val="32"/>
        </w:rPr>
      </w:pPr>
    </w:p>
    <w:p>
      <w:pPr>
        <w:spacing w:line="540" w:lineRule="exact"/>
        <w:jc w:val="center"/>
        <w:rPr>
          <w:rFonts w:hint="default" w:ascii="Times New Roman" w:hAnsi="Times New Roman" w:eastAsia="仿宋_GB2312" w:cs="Times New Roman"/>
          <w:kern w:val="0"/>
          <w:sz w:val="32"/>
          <w:szCs w:val="32"/>
        </w:rPr>
      </w:pPr>
    </w:p>
    <w:p>
      <w:pPr>
        <w:spacing w:line="540" w:lineRule="exact"/>
        <w:jc w:val="center"/>
        <w:rPr>
          <w:rFonts w:hint="default" w:ascii="Times New Roman" w:hAnsi="Times New Roman" w:eastAsia="仿宋_GB2312" w:cs="Times New Roman"/>
          <w:kern w:val="0"/>
          <w:sz w:val="32"/>
          <w:szCs w:val="32"/>
        </w:rPr>
      </w:pPr>
    </w:p>
    <w:p>
      <w:pPr>
        <w:pStyle w:val="10"/>
        <w:jc w:val="center"/>
        <w:rPr>
          <w:rFonts w:hint="default" w:ascii="Times New Roman" w:hAnsi="Times New Roman" w:cs="Times New Roman"/>
          <w:sz w:val="32"/>
          <w:szCs w:val="32"/>
        </w:rPr>
      </w:pPr>
    </w:p>
    <w:p>
      <w:pPr>
        <w:spacing w:line="540" w:lineRule="exact"/>
        <w:jc w:val="both"/>
        <w:rPr>
          <w:rFonts w:hint="default" w:ascii="Times New Roman" w:hAnsi="Times New Roman" w:eastAsia="仿宋_GB2312" w:cs="Times New Roman"/>
          <w:kern w:val="0"/>
          <w:sz w:val="32"/>
          <w:szCs w:val="32"/>
        </w:rPr>
      </w:pPr>
    </w:p>
    <w:p>
      <w:pPr>
        <w:spacing w:line="700" w:lineRule="exact"/>
        <w:ind w:left="2238" w:leftChars="304" w:hanging="1600" w:hangingChars="500"/>
        <w:jc w:val="left"/>
        <w:rPr>
          <w:rFonts w:hint="eastAsia" w:ascii="仿宋_GB2312" w:hAnsi="仿宋_GB2312" w:eastAsia="仿宋_GB2312" w:cs="仿宋_GB2312"/>
          <w:kern w:val="0"/>
          <w:sz w:val="32"/>
          <w:szCs w:val="32"/>
        </w:rPr>
      </w:pPr>
      <w:r>
        <w:rPr>
          <w:rFonts w:hint="eastAsia" w:hAnsi="宋体" w:eastAsia="仿宋_GB2312" w:cs="宋体"/>
          <w:kern w:val="0"/>
          <w:sz w:val="32"/>
          <w:szCs w:val="32"/>
        </w:rPr>
        <w:t>项目名称：</w:t>
      </w:r>
      <w:bookmarkStart w:id="0" w:name="OLE_LINK1"/>
      <w:r>
        <w:rPr>
          <w:rStyle w:val="16"/>
          <w:rFonts w:hint="eastAsia" w:ascii="仿宋_GB2312" w:hAnsi="仿宋_GB2312" w:eastAsia="仿宋_GB2312" w:cs="仿宋_GB2312"/>
          <w:b w:val="0"/>
          <w:bCs w:val="0"/>
          <w:spacing w:val="-4"/>
          <w:sz w:val="32"/>
          <w:szCs w:val="32"/>
        </w:rPr>
        <w:t>伊州财建[2024]81号伊犁州特克斯县齐勒乌泽克镇2024年度牧民越冬放牧点生产用房（居住）建设项目</w:t>
      </w:r>
      <w:bookmarkEnd w:id="0"/>
    </w:p>
    <w:p>
      <w:pPr>
        <w:spacing w:line="540" w:lineRule="exact"/>
        <w:ind w:firstLine="640" w:firstLineChars="200"/>
        <w:jc w:val="left"/>
        <w:rPr>
          <w:rStyle w:val="16"/>
          <w:rFonts w:hint="eastAsia" w:ascii="仿宋_GB2312" w:hAnsi="仿宋_GB2312" w:eastAsia="仿宋_GB2312" w:cs="仿宋_GB2312"/>
          <w:b w:val="0"/>
          <w:bCs w:val="0"/>
          <w:spacing w:val="-4"/>
          <w:sz w:val="32"/>
          <w:szCs w:val="32"/>
        </w:rPr>
      </w:pPr>
      <w:r>
        <w:rPr>
          <w:rFonts w:hint="eastAsia" w:hAnsi="宋体" w:eastAsia="仿宋_GB2312" w:cs="宋体"/>
          <w:kern w:val="0"/>
          <w:sz w:val="32"/>
          <w:szCs w:val="32"/>
        </w:rPr>
        <w:t>实施单位（公章）：</w:t>
      </w:r>
      <w:r>
        <w:rPr>
          <w:rStyle w:val="16"/>
          <w:rFonts w:hint="eastAsia" w:ascii="仿宋_GB2312" w:hAnsi="仿宋_GB2312" w:eastAsia="仿宋_GB2312" w:cs="仿宋_GB2312"/>
          <w:b w:val="0"/>
          <w:bCs w:val="0"/>
          <w:spacing w:val="-4"/>
          <w:sz w:val="32"/>
          <w:szCs w:val="32"/>
        </w:rPr>
        <w:t>特克斯县</w:t>
      </w:r>
      <w:r>
        <w:rPr>
          <w:rStyle w:val="16"/>
          <w:rFonts w:hint="eastAsia" w:ascii="仿宋_GB2312" w:hAnsi="仿宋_GB2312" w:eastAsia="仿宋_GB2312" w:cs="仿宋_GB2312"/>
          <w:b w:val="0"/>
          <w:bCs w:val="0"/>
          <w:spacing w:val="-4"/>
          <w:sz w:val="32"/>
          <w:szCs w:val="32"/>
          <w:lang w:eastAsia="zh-CN"/>
        </w:rPr>
        <w:t>齐勒乌泽克镇</w:t>
      </w:r>
      <w:r>
        <w:rPr>
          <w:rStyle w:val="16"/>
          <w:rFonts w:hint="eastAsia" w:ascii="仿宋_GB2312" w:hAnsi="仿宋_GB2312" w:eastAsia="仿宋_GB2312" w:cs="仿宋_GB2312"/>
          <w:b w:val="0"/>
          <w:bCs w:val="0"/>
          <w:spacing w:val="-4"/>
          <w:sz w:val="32"/>
          <w:szCs w:val="32"/>
        </w:rPr>
        <w:t>人民政府</w:t>
      </w:r>
    </w:p>
    <w:p>
      <w:pPr>
        <w:spacing w:line="540" w:lineRule="exact"/>
        <w:ind w:firstLine="640" w:firstLineChars="200"/>
        <w:jc w:val="left"/>
        <w:rPr>
          <w:rStyle w:val="16"/>
          <w:rFonts w:hint="eastAsia" w:ascii="仿宋_GB2312" w:hAnsi="仿宋_GB2312" w:eastAsia="仿宋_GB2312" w:cs="仿宋_GB2312"/>
          <w:b w:val="0"/>
          <w:bCs w:val="0"/>
          <w:spacing w:val="-4"/>
          <w:sz w:val="32"/>
          <w:szCs w:val="32"/>
          <w:lang w:eastAsia="zh-CN"/>
        </w:rPr>
      </w:pPr>
      <w:r>
        <w:rPr>
          <w:rFonts w:hint="eastAsia" w:hAnsi="宋体" w:eastAsia="仿宋_GB2312" w:cs="宋体"/>
          <w:kern w:val="0"/>
          <w:sz w:val="32"/>
          <w:szCs w:val="32"/>
        </w:rPr>
        <w:t>主管部门（公章）：</w:t>
      </w:r>
      <w:r>
        <w:rPr>
          <w:rStyle w:val="16"/>
          <w:rFonts w:hint="eastAsia" w:ascii="仿宋_GB2312" w:hAnsi="仿宋_GB2312" w:eastAsia="仿宋_GB2312" w:cs="仿宋_GB2312"/>
          <w:b w:val="0"/>
          <w:bCs w:val="0"/>
          <w:spacing w:val="-4"/>
          <w:sz w:val="32"/>
          <w:szCs w:val="32"/>
        </w:rPr>
        <w:t>特克斯县</w:t>
      </w:r>
      <w:r>
        <w:rPr>
          <w:rStyle w:val="16"/>
          <w:rFonts w:hint="eastAsia" w:ascii="仿宋_GB2312" w:hAnsi="仿宋_GB2312" w:eastAsia="仿宋_GB2312" w:cs="仿宋_GB2312"/>
          <w:b w:val="0"/>
          <w:bCs w:val="0"/>
          <w:spacing w:val="-4"/>
          <w:sz w:val="32"/>
          <w:szCs w:val="32"/>
          <w:lang w:eastAsia="zh-CN"/>
        </w:rPr>
        <w:t>住房和城乡建设局</w:t>
      </w:r>
    </w:p>
    <w:p>
      <w:pPr>
        <w:spacing w:line="540" w:lineRule="exact"/>
        <w:ind w:firstLine="640" w:firstLineChars="200"/>
        <w:jc w:val="left"/>
        <w:rPr>
          <w:rFonts w:hint="eastAsia" w:ascii="楷体" w:hAnsi="楷体" w:eastAsia="仿宋_GB2312"/>
          <w:b/>
          <w:bCs/>
          <w:spacing w:val="-4"/>
          <w:sz w:val="32"/>
          <w:szCs w:val="32"/>
          <w:lang w:eastAsia="zh-CN"/>
        </w:rPr>
      </w:pPr>
      <w:r>
        <w:rPr>
          <w:rFonts w:hint="eastAsia" w:hAnsi="宋体" w:eastAsia="仿宋_GB2312" w:cs="宋体"/>
          <w:kern w:val="0"/>
          <w:sz w:val="32"/>
          <w:szCs w:val="32"/>
        </w:rPr>
        <w:t>项目负责人（签章）：</w:t>
      </w:r>
      <w:r>
        <w:rPr>
          <w:rStyle w:val="16"/>
          <w:rFonts w:hint="eastAsia" w:ascii="仿宋_GB2312" w:hAnsi="仿宋_GB2312" w:eastAsia="仿宋_GB2312" w:cs="仿宋_GB2312"/>
          <w:b w:val="0"/>
          <w:bCs w:val="0"/>
          <w:spacing w:val="-4"/>
          <w:sz w:val="32"/>
          <w:szCs w:val="32"/>
          <w:lang w:val="en-US" w:eastAsia="zh-CN"/>
        </w:rPr>
        <w:t>阿不都热依木</w:t>
      </w:r>
    </w:p>
    <w:p>
      <w:pPr>
        <w:spacing w:line="700" w:lineRule="exact"/>
        <w:ind w:firstLine="640" w:firstLineChars="200"/>
        <w:jc w:val="left"/>
        <w:rPr>
          <w:rStyle w:val="16"/>
          <w:rFonts w:hint="default" w:ascii="Times New Roman" w:hAnsi="Times New Roman" w:eastAsia="黑体" w:cs="Times New Roman"/>
          <w:b w:val="0"/>
          <w:spacing w:val="-4"/>
          <w:sz w:val="32"/>
          <w:szCs w:val="32"/>
        </w:rPr>
      </w:pPr>
      <w:r>
        <w:rPr>
          <w:rFonts w:hint="eastAsia" w:hAnsi="宋体" w:eastAsia="仿宋_GB2312" w:cs="宋体"/>
          <w:kern w:val="0"/>
          <w:sz w:val="32"/>
          <w:szCs w:val="32"/>
        </w:rPr>
        <w:t>填报时间：</w:t>
      </w:r>
      <w:r>
        <w:rPr>
          <w:rStyle w:val="16"/>
          <w:rFonts w:hint="eastAsia" w:ascii="楷体" w:hAnsi="楷体" w:eastAsia="楷体"/>
          <w:b w:val="0"/>
          <w:bCs w:val="0"/>
          <w:spacing w:val="-4"/>
          <w:sz w:val="32"/>
          <w:szCs w:val="32"/>
        </w:rPr>
        <w:t>2025年05月</w:t>
      </w:r>
      <w:r>
        <w:rPr>
          <w:rStyle w:val="16"/>
          <w:rFonts w:hint="eastAsia" w:ascii="楷体" w:hAnsi="楷体" w:eastAsia="楷体"/>
          <w:b w:val="0"/>
          <w:bCs w:val="0"/>
          <w:spacing w:val="-4"/>
          <w:sz w:val="32"/>
          <w:szCs w:val="32"/>
          <w:lang w:val="en-US" w:eastAsia="zh-CN"/>
        </w:rPr>
        <w:t>3</w:t>
      </w:r>
      <w:r>
        <w:rPr>
          <w:rStyle w:val="16"/>
          <w:rFonts w:hint="eastAsia" w:ascii="楷体" w:hAnsi="楷体" w:eastAsia="楷体"/>
          <w:b w:val="0"/>
          <w:bCs w:val="0"/>
          <w:spacing w:val="-4"/>
          <w:sz w:val="32"/>
          <w:szCs w:val="32"/>
        </w:rPr>
        <w:t>0日</w:t>
      </w:r>
    </w:p>
    <w:p>
      <w:pPr>
        <w:spacing w:line="540" w:lineRule="exact"/>
        <w:ind w:firstLine="640"/>
        <w:rPr>
          <w:rStyle w:val="16"/>
          <w:rFonts w:hint="default" w:ascii="Times New Roman" w:hAnsi="Times New Roman" w:eastAsia="黑体" w:cs="Times New Roman"/>
          <w:b w:val="0"/>
          <w:spacing w:val="-4"/>
          <w:sz w:val="32"/>
          <w:szCs w:val="32"/>
        </w:rPr>
      </w:pPr>
    </w:p>
    <w:p>
      <w:pPr>
        <w:spacing w:line="540" w:lineRule="exact"/>
        <w:rPr>
          <w:rStyle w:val="16"/>
          <w:rFonts w:hint="default" w:ascii="Times New Roman" w:hAnsi="Times New Roman" w:eastAsia="黑体" w:cs="Times New Roman"/>
          <w:b w:val="0"/>
          <w:spacing w:val="-4"/>
          <w:sz w:val="32"/>
          <w:szCs w:val="32"/>
        </w:rPr>
      </w:pPr>
    </w:p>
    <w:p>
      <w:pPr>
        <w:spacing w:line="560" w:lineRule="exact"/>
        <w:ind w:firstLine="640" w:firstLineChars="200"/>
        <w:rPr>
          <w:rFonts w:hint="default" w:ascii="Times New Roman" w:hAnsi="Times New Roman" w:eastAsia="黑体" w:cs="Times New Roman"/>
          <w:bCs/>
          <w:sz w:val="32"/>
          <w:szCs w:val="32"/>
        </w:rPr>
        <w:sectPr>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spacing w:line="560" w:lineRule="exact"/>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为认真贯彻落实自治区、自治州、县委2024年“十件民生实事”工作要求，坚持“人民至上、生命至上”，及时消除牧民越冬放牧点生产用房(居住)安全隐患，保障我镇各族农牧民群众的生命财产安全。依据：《关于申请特克斯县科克苏镇牧民越冬放牧点生产用房（居住）建设项目拨付工程款的报告》《关于下达2024年城乡抗震安居工程建设民生实施资金预算的通知》伊州财建【2024】81号</w:t>
      </w:r>
      <w:r>
        <w:rPr>
          <w:rFonts w:hint="default" w:ascii="仿宋_GB2312" w:hAnsi="仿宋_GB2312" w:eastAsia="仿宋_GB2312" w:cs="仿宋_GB2312"/>
          <w:sz w:val="32"/>
          <w:szCs w:val="32"/>
          <w:highlight w:val="none"/>
          <w:lang w:val="en-US" w:eastAsia="zh-CN"/>
        </w:rPr>
        <w:t>。</w:t>
      </w:r>
    </w:p>
    <w:p>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主要内容：对镇区范围牧民越冬放牧点生产用房(居住)进行拆除新建,选择有资质施工单位进行建设，强化设计、施工、工程质量、验收等相关环节监管，并邀请工程监理，验收工程质量，力争2024年10月底前，完成拆除及新建工作。在综合研判我镇牧区地质结构和运费的基础上，实施面积为15-30平方米木结构房屋，轻钢房，共建61户，单户建房价格控制在3万元以内，同时达到抗震、保温、防水要求，牧民越冬放牧点生产用房(居住)建成后上级有关部门按照相关要求进行验收。并对牧民越冬放牧点生产用房(居住)建立一户一策档案。</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r>
        <w:rPr>
          <w:rFonts w:hint="eastAsia" w:ascii="仿宋_GB2312" w:hAnsi="仿宋_GB2312" w:eastAsia="仿宋_GB2312" w:cs="仿宋_GB2312"/>
          <w:sz w:val="32"/>
          <w:szCs w:val="32"/>
          <w:lang w:eastAsia="zh-CN"/>
        </w:rPr>
        <w:t>。</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183</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183</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ascii="Times New Roman" w:hAnsi="Times New Roman" w:eastAsia="仿宋_GB2312" w:cs="Times New Roman"/>
          <w:sz w:val="32"/>
          <w:szCs w:val="32"/>
          <w:highlight w:val="none"/>
          <w:lang w:val="en-US" w:eastAsia="zh-CN"/>
        </w:rPr>
        <w:t>伊犁州</w:t>
      </w:r>
      <w:r>
        <w:rPr>
          <w:rFonts w:hint="default" w:ascii="Times New Roman" w:hAnsi="Times New Roman" w:eastAsia="仿宋_GB2312" w:cs="Times New Roman"/>
          <w:sz w:val="32"/>
          <w:szCs w:val="32"/>
          <w:highlight w:val="none"/>
          <w:lang w:val="en-US" w:eastAsia="zh-CN"/>
        </w:rPr>
        <w:t>2024年城乡抗震安居工程建设民生实施资金。</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183</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183</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166.96</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91.23</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牧民越冬放牧点生产用房建设</w:t>
      </w:r>
      <w:r>
        <w:rPr>
          <w:rFonts w:hint="default" w:ascii="Times New Roman" w:hAnsi="Times New Roman" w:eastAsia="仿宋_GB2312" w:cs="Times New Roman"/>
          <w:sz w:val="32"/>
          <w:szCs w:val="32"/>
          <w:highlight w:val="none"/>
          <w:lang w:val="en-US" w:eastAsia="zh-CN"/>
        </w:rPr>
        <w:t>。</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pacing w:line="560" w:lineRule="exact"/>
        <w:ind w:firstLine="640" w:firstLineChars="200"/>
        <w:rPr>
          <w:rFonts w:hint="default" w:ascii="Times New Roman" w:hAnsi="Times New Roman" w:eastAsia="黑体" w:cs="Times New Roman"/>
          <w:b w:val="0"/>
          <w:bCs/>
          <w:lang w:eastAsia="zh-CN"/>
        </w:rPr>
      </w:pPr>
      <w:r>
        <w:rPr>
          <w:rFonts w:hint="eastAsia" w:ascii="Times New Roman" w:hAnsi="Times New Roman" w:eastAsia="仿宋_GB2312" w:cs="Times New Roman"/>
          <w:sz w:val="32"/>
          <w:szCs w:val="32"/>
          <w:lang w:eastAsia="zh-CN"/>
        </w:rPr>
        <w:t>通过《关于下达2024年城乡抗震安居工程建设民生实施资金预算的通知》伊州财建【2024】81号，完成拆除及新建工作。在综合研判我镇牧区地质结构和运费的基础上，实施面积为15-30平方米木结构房屋，轻钢房，共建</w:t>
      </w:r>
      <w:r>
        <w:rPr>
          <w:rFonts w:hint="eastAsia" w:eastAsia="仿宋_GB2312" w:cs="Times New Roman"/>
          <w:sz w:val="32"/>
          <w:szCs w:val="32"/>
          <w:lang w:val="en-US" w:eastAsia="zh-CN"/>
        </w:rPr>
        <w:t>61</w:t>
      </w:r>
      <w:r>
        <w:rPr>
          <w:rFonts w:hint="eastAsia" w:ascii="Times New Roman" w:hAnsi="Times New Roman" w:eastAsia="仿宋_GB2312" w:cs="Times New Roman"/>
          <w:sz w:val="32"/>
          <w:szCs w:val="32"/>
          <w:lang w:eastAsia="zh-CN"/>
        </w:rPr>
        <w:t>户，单户建房价格控制在3万元以内，同时达到抗震、保温、防水要求，牧民越冬放牧点生产用房(居住)建成后上级有关部门按照相关要求进行验收。改善牧民生活环境，提供牧民住房保障，提供居民生活水平。</w:t>
      </w:r>
    </w:p>
    <w:p>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p>
    <w:p>
      <w:pPr>
        <w:spacing w:line="560" w:lineRule="exact"/>
        <w:ind w:firstLine="640" w:firstLineChars="200"/>
        <w:rPr>
          <w:rFonts w:hint="default" w:ascii="Times New Roman" w:hAnsi="Times New Roman" w:eastAsia="仿宋_GB2312" w:cs="Times New Roman"/>
          <w:sz w:val="32"/>
          <w:szCs w:val="32"/>
          <w:lang w:val="en-US" w:eastAsia="zh-CN"/>
        </w:rPr>
      </w:pPr>
      <w:bookmarkStart w:id="1" w:name="OLE_LINK2"/>
      <w:r>
        <w:rPr>
          <w:rFonts w:hint="eastAsia" w:ascii="Times New Roman" w:hAnsi="Times New Roman" w:eastAsia="仿宋_GB2312" w:cs="Times New Roman"/>
          <w:sz w:val="32"/>
          <w:szCs w:val="32"/>
          <w:lang w:val="en-US" w:eastAsia="zh-CN"/>
        </w:rPr>
        <w:t>2024年9月1日至9月15日完成项目前期手续</w:t>
      </w:r>
    </w:p>
    <w:p>
      <w:pPr>
        <w:spacing w:line="56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2024年9月30日开工建设</w:t>
      </w:r>
    </w:p>
    <w:p>
      <w:pPr>
        <w:spacing w:line="56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2024年11月30日前完成项目竣工验收</w:t>
      </w:r>
    </w:p>
    <w:p>
      <w:pPr>
        <w:spacing w:line="560" w:lineRule="exact"/>
        <w:ind w:firstLine="640" w:firstLineChars="200"/>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2025年5月完成项目绩效自评工作</w:t>
      </w:r>
      <w:bookmarkEnd w:id="1"/>
      <w:r>
        <w:rPr>
          <w:rFonts w:hint="eastAsia" w:ascii="Times New Roman" w:hAnsi="Times New Roman" w:eastAsia="仿宋_GB2312" w:cs="Times New Roman"/>
          <w:sz w:val="32"/>
          <w:szCs w:val="32"/>
          <w:lang w:eastAsia="zh-CN"/>
        </w:rPr>
        <w:t>。</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shd w:val="clear" w:color="auto" w:fill="auto"/>
          <w:lang w:val="en-US" w:eastAsia="zh-CN"/>
        </w:rPr>
      </w:pPr>
      <w:r>
        <w:rPr>
          <w:rFonts w:hint="default" w:ascii="Times New Roman" w:hAnsi="Times New Roman" w:eastAsia="仿宋_GB2312" w:cs="Times New Roman"/>
          <w:b w:val="0"/>
          <w:bCs w:val="0"/>
          <w:highlight w:val="none"/>
          <w:shd w:val="clear" w:color="auto" w:fill="auto"/>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shd w:val="clear" w:color="auto" w:fill="auto"/>
        </w:rPr>
      </w:pPr>
      <w:r>
        <w:rPr>
          <w:rFonts w:hint="default" w:ascii="Times New Roman" w:hAnsi="Times New Roman" w:eastAsia="仿宋_GB2312" w:cs="Times New Roman"/>
          <w:sz w:val="32"/>
          <w:szCs w:val="32"/>
          <w:highlight w:val="none"/>
          <w:shd w:val="clear" w:color="auto" w:fill="auto"/>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shd w:val="clear" w:color="auto" w:fill="auto"/>
        </w:rPr>
      </w:pPr>
      <w:r>
        <w:rPr>
          <w:rFonts w:hint="default" w:ascii="Times New Roman" w:hAnsi="Times New Roman" w:eastAsia="仿宋_GB2312" w:cs="Times New Roman"/>
          <w:sz w:val="32"/>
          <w:szCs w:val="32"/>
          <w:highlight w:val="none"/>
          <w:shd w:val="clear" w:color="auto" w:fill="auto"/>
          <w:lang w:val="en-US" w:eastAsia="zh-CN"/>
        </w:rPr>
        <w:t>在评价指标体系的构建上，充分考虑了项目的性质、目标以及预期成果，选取了具有代表性和可衡量性的关键指标，涵盖了经济效益、社会效益、</w:t>
      </w:r>
      <w:r>
        <w:rPr>
          <w:rFonts w:hint="eastAsia" w:eastAsia="仿宋_GB2312" w:cs="Times New Roman"/>
          <w:sz w:val="32"/>
          <w:szCs w:val="32"/>
          <w:highlight w:val="none"/>
          <w:shd w:val="clear" w:color="auto" w:fill="auto"/>
          <w:lang w:val="en-US" w:eastAsia="zh-CN"/>
        </w:rPr>
        <w:t>生态</w:t>
      </w:r>
      <w:r>
        <w:rPr>
          <w:rFonts w:hint="default" w:ascii="Times New Roman" w:hAnsi="Times New Roman" w:eastAsia="仿宋_GB2312" w:cs="Times New Roman"/>
          <w:sz w:val="32"/>
          <w:szCs w:val="32"/>
          <w:highlight w:val="none"/>
          <w:shd w:val="clear" w:color="auto" w:fill="auto"/>
          <w:lang w:val="en-US" w:eastAsia="zh-CN"/>
        </w:rPr>
        <w:t>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shd w:val="clear" w:color="auto" w:fill="auto"/>
        </w:rPr>
      </w:pPr>
      <w:r>
        <w:rPr>
          <w:rFonts w:hint="default" w:ascii="Times New Roman" w:hAnsi="Times New Roman" w:eastAsia="仿宋_GB2312" w:cs="Times New Roman"/>
          <w:sz w:val="32"/>
          <w:szCs w:val="32"/>
          <w:highlight w:val="none"/>
          <w:shd w:val="clear" w:color="auto" w:fill="auto"/>
          <w:lang w:val="en-US" w:eastAsia="zh-CN"/>
        </w:rPr>
        <w:t>在数据收集与分析环节，采用了多种科学合理的方法，如实地调研、问卷调查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shd w:val="clear" w:color="auto" w:fill="auto"/>
        </w:rPr>
      </w:pPr>
      <w:r>
        <w:rPr>
          <w:rFonts w:hint="default" w:ascii="Times New Roman" w:hAnsi="Times New Roman" w:eastAsia="仿宋_GB2312" w:cs="Times New Roman"/>
          <w:sz w:val="32"/>
          <w:szCs w:val="32"/>
          <w:highlight w:val="none"/>
          <w:shd w:val="clear" w:color="auto" w:fill="auto"/>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green"/>
          <w:lang w:val="en-US" w:eastAsia="zh-CN"/>
        </w:rPr>
      </w:pPr>
      <w:r>
        <w:rPr>
          <w:rFonts w:hint="default" w:ascii="Times New Roman" w:hAnsi="Times New Roman" w:eastAsia="仿宋_GB2312" w:cs="Times New Roman"/>
          <w:sz w:val="32"/>
          <w:szCs w:val="32"/>
          <w:highlight w:val="none"/>
          <w:shd w:val="clear" w:color="auto" w:fill="auto"/>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通过对项目预算执行情况及各项绩效目标达成程度的系统性分析，全面、客观地评估项目在预定周期内的实施效果，包括经济效益、社会效益、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效益以及可持续性等多维度指标，为项目后续的改进与优化提供科学依据。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本项目预算绩效评价报告的评价对象是伊州财建[2024]81号伊犁州特克斯县</w:t>
      </w:r>
      <w:r>
        <w:rPr>
          <w:rFonts w:hint="eastAsia" w:ascii="Times New Roman" w:hAnsi="Times New Roman" w:eastAsia="仿宋_GB2312" w:cs="Times New Roman"/>
          <w:b w:val="0"/>
          <w:bCs w:val="0"/>
          <w:highlight w:val="none"/>
          <w:lang w:eastAsia="zh-CN"/>
        </w:rPr>
        <w:t>齐勒乌泽克镇</w:t>
      </w:r>
      <w:r>
        <w:rPr>
          <w:rFonts w:hint="default" w:ascii="Times New Roman" w:hAnsi="Times New Roman" w:eastAsia="仿宋_GB2312" w:cs="Times New Roman"/>
          <w:b w:val="0"/>
          <w:bCs w:val="0"/>
          <w:highlight w:val="none"/>
        </w:rPr>
        <w:t>2024年度牧民越冬放牧点生产用房（居住）建设项目及其预算执行情况。该项目由</w:t>
      </w:r>
      <w:r>
        <w:rPr>
          <w:rFonts w:hint="eastAsia" w:ascii="Times New Roman" w:hAnsi="Times New Roman" w:eastAsia="仿宋_GB2312" w:cs="Times New Roman"/>
          <w:b w:val="0"/>
          <w:bCs w:val="0"/>
          <w:highlight w:val="none"/>
          <w:lang w:eastAsia="zh-CN"/>
        </w:rPr>
        <w:t>特克斯县齐勒乌泽克镇人民政府</w:t>
      </w:r>
      <w:r>
        <w:rPr>
          <w:rFonts w:hint="default" w:ascii="Times New Roman" w:hAnsi="Times New Roman" w:eastAsia="仿宋_GB2312" w:cs="Times New Roman"/>
          <w:b w:val="0"/>
          <w:bCs w:val="0"/>
          <w:highlight w:val="none"/>
        </w:rPr>
        <w:t>负责实施，旨在改善</w:t>
      </w:r>
      <w:r>
        <w:rPr>
          <w:rFonts w:hint="eastAsia" w:ascii="Times New Roman" w:hAnsi="Times New Roman" w:eastAsia="仿宋_GB2312" w:cs="Times New Roman"/>
          <w:b w:val="0"/>
          <w:bCs w:val="0"/>
          <w:highlight w:val="none"/>
          <w:lang w:eastAsia="zh-CN"/>
        </w:rPr>
        <w:t>本镇</w:t>
      </w:r>
      <w:r>
        <w:rPr>
          <w:rFonts w:hint="default" w:ascii="Times New Roman" w:hAnsi="Times New Roman" w:eastAsia="仿宋_GB2312" w:cs="Times New Roman"/>
          <w:b w:val="0"/>
          <w:bCs w:val="0"/>
          <w:highlight w:val="none"/>
        </w:rPr>
        <w:t>牧民生活环境，提供牧民住房保障，提供居民生活水平。项目预算涵盖从</w:t>
      </w:r>
      <w:r>
        <w:rPr>
          <w:rFonts w:hint="eastAsia" w:ascii="Times New Roman" w:hAnsi="Times New Roman" w:eastAsia="仿宋_GB2312" w:cs="Times New Roman"/>
          <w:b w:val="0"/>
          <w:bCs w:val="0"/>
          <w:highlight w:val="none"/>
          <w:lang w:val="en-US" w:eastAsia="zh-CN"/>
        </w:rPr>
        <w:t>2024年9月30日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2024年11月30日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166.96</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影响：考察项目对社会、</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rPr>
        <w:t>、经济等方面的综合影响。</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评价指标体系</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绩效评价框架是开展绩效评价的核心。绩效评价框架包括评价准则、关键评价问题、评价指标、数据来源、数据收集方法等。指标体系建立过程如下：</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（1）确定评价指标</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采用层次分析法，建立评价指标体系。绩效评价将指标分为项目决策指标、项目过程指标、项目产出指标、项目效益指标四个维度，最终形成一个由多个相互联系的指标组成的多层次指标体系。</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（2）确定权重</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确定各个指标相对于项目总体绩效的权重分值。在绩效评价指标体系中，项目决策权重为20分，项目过程权重为20分，项目产出权重为40分，项目效益权重为20分。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（3）确定指标标准值</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指标标准值是绩效评价指标的尺度，既要反映同类项目的先进水平，又要符合项目的实际绩效水平。具体采用计划标准等确定此次绩效评价指标标准值。</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绩效评价总分值100分，根据综合评分结果，90（含）-100分为优、80（含）-90分为良、60（含）-80分为中、60分以下为差。</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具体评价指标体系详情见附件1</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绩效评价方法</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绩效评价从项目决策、项目过程、项目产出、项目效益四个维度进行评价。评价对象为项目目标实施情况，  评价核心为资金的支出完成情况和项目的产出效益。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本次评价指标中，既有定性指标又有定量指标，各类指标因考核内容不同和客观标准不同存在较大差异，因此核定具体指标时采用了不同方法，具体评价方法如下：</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 xml:space="preserve">（一）成本效益分析法。是指将投入与产出、效益进行关联性分析的方法。 </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w:t>
      </w:r>
      <w:r>
        <w:rPr>
          <w:rFonts w:hint="eastAsia" w:ascii="Times New Roman" w:hAnsi="Times New Roman" w:eastAsia="仿宋_GB2312" w:cs="Times New Roman"/>
          <w:b w:val="0"/>
          <w:bCs w:val="0"/>
          <w:highlight w:val="none"/>
          <w:lang w:eastAsia="zh-CN"/>
        </w:rPr>
        <w:t>二</w:t>
      </w:r>
      <w:r>
        <w:rPr>
          <w:rFonts w:hint="default" w:ascii="Times New Roman" w:hAnsi="Times New Roman" w:eastAsia="仿宋_GB2312" w:cs="Times New Roman"/>
          <w:b w:val="0"/>
          <w:bCs w:val="0"/>
          <w:highlight w:val="none"/>
        </w:rPr>
        <w:t>）因素分析法。是指综合分析影响绩效目标实现、实施效果的内外部因素的方法。</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w:t>
      </w:r>
      <w:r>
        <w:rPr>
          <w:rFonts w:hint="eastAsia" w:ascii="Times New Roman" w:hAnsi="Times New Roman" w:eastAsia="仿宋_GB2312" w:cs="Times New Roman"/>
          <w:b w:val="0"/>
          <w:bCs w:val="0"/>
          <w:highlight w:val="none"/>
          <w:lang w:eastAsia="zh-CN"/>
        </w:rPr>
        <w:t>三</w:t>
      </w:r>
      <w:r>
        <w:rPr>
          <w:rFonts w:hint="default" w:ascii="Times New Roman" w:hAnsi="Times New Roman" w:eastAsia="仿宋_GB2312" w:cs="Times New Roman"/>
          <w:b w:val="0"/>
          <w:bCs w:val="0"/>
          <w:highlight w:val="none"/>
        </w:rPr>
        <w:t>）公众评判法。是指通过专家评估、公众问卷及抽样调查等方式进行评判的方法。</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绩效</w:t>
      </w:r>
      <w:r>
        <w:rPr>
          <w:rFonts w:hint="default" w:ascii="Times New Roman" w:hAnsi="Times New Roman" w:eastAsia="仿宋_GB2312" w:cs="Times New Roman"/>
          <w:b w:val="0"/>
          <w:bCs w:val="0"/>
          <w:highlight w:val="none"/>
        </w:rPr>
        <w:t>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val="en-US" w:eastAsia="zh-CN"/>
        </w:rPr>
        <w:t>计划</w:t>
      </w:r>
      <w:r>
        <w:rPr>
          <w:rFonts w:hint="default" w:ascii="Times New Roman" w:hAnsi="Times New Roman" w:eastAsia="仿宋_GB2312" w:cs="Times New Roman"/>
          <w:b w:val="0"/>
          <w:bCs w:val="0"/>
          <w:highlight w:val="none"/>
        </w:rPr>
        <w:t>标准。</w:t>
      </w:r>
    </w:p>
    <w:p>
      <w:pPr>
        <w:pStyle w:val="10"/>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一</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评价情况</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本项目的综合评价基于对项目各方面绩效的深入分析与评估。从项目目标的达成情况来看，伊州财建[2024]81号伊犁州特克斯县</w:t>
      </w:r>
      <w:r>
        <w:rPr>
          <w:rFonts w:hint="eastAsia" w:eastAsia="仿宋_GB2312" w:cs="Times New Roman"/>
          <w:sz w:val="32"/>
          <w:szCs w:val="32"/>
          <w:highlight w:val="none"/>
          <w:lang w:eastAsia="zh-CN"/>
        </w:rPr>
        <w:t>齐勒乌泽克镇</w:t>
      </w:r>
      <w:r>
        <w:rPr>
          <w:rFonts w:hint="default" w:ascii="Times New Roman" w:hAnsi="Times New Roman" w:eastAsia="仿宋_GB2312" w:cs="Times New Roman"/>
          <w:sz w:val="32"/>
          <w:szCs w:val="32"/>
          <w:highlight w:val="none"/>
        </w:rPr>
        <w:t>2024年度牧民越冬放牧点生产用房（居住）建设项目在改善牧民生活环境，提供牧民住房保障，提供居民生活水平等方面表现出色，达到了预期的标准与要求。同时，项目也在</w:t>
      </w:r>
      <w:r>
        <w:rPr>
          <w:rFonts w:hint="eastAsia" w:eastAsia="仿宋_GB2312" w:cs="Times New Roman"/>
          <w:color w:val="auto"/>
          <w:sz w:val="32"/>
          <w:szCs w:val="32"/>
          <w:highlight w:val="none"/>
          <w:lang w:eastAsia="zh-CN"/>
        </w:rPr>
        <w:t>项目实施后</w:t>
      </w:r>
      <w:r>
        <w:rPr>
          <w:rFonts w:hint="default" w:ascii="Times New Roman" w:hAnsi="Times New Roman" w:eastAsia="仿宋_GB2312" w:cs="Times New Roman"/>
          <w:sz w:val="32"/>
          <w:szCs w:val="32"/>
          <w:highlight w:val="none"/>
        </w:rPr>
        <w:t>取得了显著的成效，如</w:t>
      </w:r>
      <w:r>
        <w:rPr>
          <w:rFonts w:hint="eastAsia" w:eastAsia="仿宋_GB2312" w:cs="Times New Roman"/>
          <w:sz w:val="32"/>
          <w:szCs w:val="32"/>
          <w:highlight w:val="none"/>
          <w:lang w:eastAsia="zh-CN"/>
        </w:rPr>
        <w:t>完成</w:t>
      </w:r>
      <w:r>
        <w:rPr>
          <w:rFonts w:hint="eastAsia" w:eastAsia="仿宋_GB2312" w:cs="Times New Roman"/>
          <w:sz w:val="32"/>
          <w:szCs w:val="32"/>
          <w:highlight w:val="none"/>
          <w:lang w:val="en-US" w:eastAsia="zh-CN"/>
        </w:rPr>
        <w:t>61套牧民生产用房，达到了抗震、保温、防水等要求，切实改善了牧民越冬放牧点生产生活环境</w:t>
      </w:r>
      <w:r>
        <w:rPr>
          <w:rFonts w:hint="default" w:ascii="Times New Roman" w:hAnsi="Times New Roman" w:eastAsia="仿宋_GB2312" w:cs="Times New Roman"/>
          <w:sz w:val="32"/>
          <w:szCs w:val="32"/>
          <w:highlight w:val="none"/>
        </w:rPr>
        <w:t>等。</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eastAsia="zh-CN"/>
        </w:rPr>
        <w:t>特克斯县齐勒乌泽克镇人民政府</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经济效益</w:t>
      </w:r>
      <w:r>
        <w:rPr>
          <w:rFonts w:hint="default" w:ascii="Times New Roman" w:hAnsi="Times New Roman" w:eastAsia="仿宋_GB2312" w:cs="Times New Roman"/>
          <w:sz w:val="32"/>
          <w:szCs w:val="32"/>
          <w:highlight w:val="none"/>
        </w:rPr>
        <w:t>等方面产生了积极的影响。具体而言，城乡抗震安居工程建设房屋安全隐患排查整治成果等方面的提升，为项目的利益相关者带来了实实在在的利益。</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综上所述，伊州财建[2024]81号伊犁州特克斯县</w:t>
      </w:r>
      <w:r>
        <w:rPr>
          <w:rFonts w:hint="eastAsia" w:eastAsia="仿宋_GB2312" w:cs="Times New Roman"/>
          <w:sz w:val="32"/>
          <w:szCs w:val="32"/>
          <w:highlight w:val="none"/>
          <w:lang w:eastAsia="zh-CN"/>
        </w:rPr>
        <w:t>齐勒乌泽克镇</w:t>
      </w:r>
      <w:r>
        <w:rPr>
          <w:rFonts w:hint="default" w:ascii="Times New Roman" w:hAnsi="Times New Roman" w:eastAsia="仿宋_GB2312" w:cs="Times New Roman"/>
          <w:sz w:val="32"/>
          <w:szCs w:val="32"/>
          <w:highlight w:val="none"/>
        </w:rPr>
        <w:t>2024年度牧民越冬放牧点生产用房（居住）建设项目在绩效评价中表现出色，达到了项目的预期目标，并在多个方面取得了显著的成效。</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98.25</w:t>
      </w:r>
      <w:r>
        <w:rPr>
          <w:rFonts w:hint="default" w:ascii="Times New Roman" w:hAnsi="Times New Roman" w:eastAsia="仿宋_GB2312" w:cs="Times New Roman"/>
          <w:b w:val="0"/>
          <w:bCs w:val="0"/>
          <w:highlight w:val="none"/>
        </w:rPr>
        <w:t>分，属于“优”。其中，项目决策类指标权重为20分，得分为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18.25</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91.23</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pPr>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br w:type="page"/>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18.25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39.12</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97.37</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4"/>
        </w:numPr>
        <w:spacing w:before="0" w:after="0" w:line="560" w:lineRule="exact"/>
        <w:ind w:firstLine="643" w:firstLineChars="200"/>
        <w:jc w:val="both"/>
        <w:rPr>
          <w:rFonts w:hint="default" w:ascii="Times New Roman" w:hAnsi="Times New Roman" w:eastAsia="楷体" w:cs="Times New Roman"/>
          <w:highlight w:val="none"/>
        </w:rPr>
      </w:pPr>
      <w:r>
        <w:rPr>
          <w:rFonts w:hint="default" w:ascii="Times New Roman" w:hAnsi="Times New Roman" w:eastAsia="楷体" w:cs="Times New Roman"/>
          <w:highlight w:val="none"/>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18.25</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91.23</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183万元</w:t>
      </w:r>
      <w:r>
        <w:rPr>
          <w:rFonts w:hint="default" w:ascii="Times New Roman" w:hAnsi="Times New Roman" w:eastAsia="仿宋_GB2312" w:cs="Times New Roman"/>
          <w:sz w:val="32"/>
          <w:szCs w:val="32"/>
          <w:highlight w:val="none"/>
          <w:lang w:val="en-US" w:eastAsia="zh-CN"/>
        </w:rPr>
        <w:t>，财政资金及时足额到位，到位率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166.96万元</w:t>
      </w:r>
      <w:r>
        <w:rPr>
          <w:rFonts w:hint="default" w:ascii="Times New Roman" w:hAnsi="Times New Roman" w:eastAsia="仿宋_GB2312" w:cs="Times New Roman"/>
          <w:sz w:val="32"/>
          <w:szCs w:val="32"/>
          <w:highlight w:val="none"/>
          <w:lang w:val="en-US" w:eastAsia="zh-CN"/>
        </w:rPr>
        <w:t>，预算执行率为</w:t>
      </w:r>
      <w:r>
        <w:rPr>
          <w:rFonts w:hint="eastAsia" w:eastAsia="仿宋_GB2312" w:cs="Times New Roman"/>
          <w:sz w:val="32"/>
          <w:szCs w:val="32"/>
          <w:highlight w:val="none"/>
          <w:lang w:val="en-US" w:eastAsia="zh-CN"/>
        </w:rPr>
        <w:t>91.23</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2"/>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项目产</w:t>
      </w:r>
      <w:r>
        <w:rPr>
          <w:rFonts w:hint="default" w:ascii="Times New Roman" w:hAnsi="Times New Roman" w:eastAsia="仿宋_GB2312" w:cs="Times New Roman"/>
          <w:sz w:val="32"/>
          <w:szCs w:val="32"/>
          <w:highlight w:val="none"/>
          <w:lang w:val="en-US" w:eastAsia="zh-CN"/>
        </w:rPr>
        <w:t>出类指标包括产出数量、产出质量、产出时效、产出成本四方面的内容，由</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39.12</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bookmarkStart w:id="2" w:name="OLE_LINK3"/>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齐勒乌泽克镇</w:t>
      </w:r>
      <w:r>
        <w:rPr>
          <w:rFonts w:hint="default" w:ascii="Times New Roman" w:hAnsi="Times New Roman" w:eastAsia="仿宋_GB2312" w:cs="Times New Roman"/>
          <w:sz w:val="32"/>
          <w:szCs w:val="32"/>
          <w:highlight w:val="none"/>
        </w:rPr>
        <w:t>新建越冬房户数，指标值：&gt;=</w:t>
      </w:r>
      <w:r>
        <w:rPr>
          <w:rFonts w:hint="eastAsia" w:eastAsia="仿宋_GB2312" w:cs="Times New Roman"/>
          <w:sz w:val="32"/>
          <w:szCs w:val="32"/>
          <w:highlight w:val="none"/>
          <w:lang w:val="en-US" w:eastAsia="zh-CN"/>
        </w:rPr>
        <w:t>61</w:t>
      </w:r>
      <w:r>
        <w:rPr>
          <w:rFonts w:hint="default" w:ascii="Times New Roman" w:hAnsi="Times New Roman" w:eastAsia="仿宋_GB2312" w:cs="Times New Roman"/>
          <w:sz w:val="32"/>
          <w:szCs w:val="32"/>
          <w:highlight w:val="none"/>
        </w:rPr>
        <w:t>户，实际完成值：</w:t>
      </w:r>
      <w:r>
        <w:rPr>
          <w:rFonts w:hint="eastAsia" w:eastAsia="仿宋_GB2312" w:cs="Times New Roman"/>
          <w:sz w:val="32"/>
          <w:szCs w:val="32"/>
          <w:highlight w:val="none"/>
          <w:lang w:val="en-US" w:eastAsia="zh-CN"/>
        </w:rPr>
        <w:t>61户</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bookmarkEnd w:id="2"/>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指标1：竣工验收合格率，指标值：=</w:t>
      </w:r>
      <w:bookmarkStart w:id="3" w:name="OLE_LINK4"/>
      <w:r>
        <w:rPr>
          <w:rFonts w:hint="eastAsia" w:ascii="Times New Roman" w:hAnsi="Times New Roman" w:eastAsia="仿宋_GB2312" w:cs="Times New Roman"/>
          <w:sz w:val="32"/>
          <w:szCs w:val="32"/>
          <w:highlight w:val="none"/>
          <w:lang w:val="en-US" w:eastAsia="zh-CN"/>
        </w:rPr>
        <w:t>100%</w:t>
      </w:r>
      <w:bookmarkEnd w:id="3"/>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eastAsia" w:eastAsia="仿宋_GB2312" w:cs="Times New Roman"/>
          <w:sz w:val="32"/>
          <w:szCs w:val="32"/>
          <w:highlight w:val="none"/>
          <w:lang w:eastAsia="zh-CN"/>
        </w:rPr>
      </w:pPr>
      <w:bookmarkStart w:id="4" w:name="OLE_LINK5"/>
      <w:r>
        <w:rPr>
          <w:rFonts w:hint="default" w:ascii="Times New Roman" w:hAnsi="Times New Roman" w:eastAsia="仿宋_GB2312" w:cs="Times New Roman"/>
          <w:sz w:val="32"/>
          <w:szCs w:val="32"/>
          <w:highlight w:val="none"/>
        </w:rPr>
        <w:t>指标1：工作任务完成时限，指标值：</w:t>
      </w:r>
      <w:r>
        <w:rPr>
          <w:rFonts w:hint="eastAsia" w:ascii="Times New Roman" w:hAnsi="Times New Roman" w:eastAsia="仿宋_GB2312" w:cs="Times New Roman"/>
          <w:sz w:val="32"/>
          <w:szCs w:val="32"/>
          <w:highlight w:val="none"/>
          <w:lang w:val="en-US" w:eastAsia="zh-CN"/>
        </w:rPr>
        <w:t>2024年11月30日</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2024年11月30日</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bookmarkEnd w:id="4"/>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shd w:val="clear"/>
        <w:spacing w:line="600" w:lineRule="exact"/>
        <w:ind w:firstLine="640" w:firstLineChars="200"/>
        <w:outlineLvl w:val="0"/>
        <w:rPr>
          <w:rFonts w:hint="eastAsia" w:eastAsia="仿宋_GB2312" w:cs="Times New Roman"/>
          <w:sz w:val="32"/>
          <w:szCs w:val="32"/>
          <w:highlight w:val="none"/>
          <w:lang w:eastAsia="zh-CN"/>
        </w:rPr>
      </w:pPr>
      <w:bookmarkStart w:id="5" w:name="OLE_LINK6"/>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每户越冬房成本</w:t>
      </w:r>
      <w:r>
        <w:rPr>
          <w:rFonts w:hint="default" w:ascii="Times New Roman" w:hAnsi="Times New Roman" w:eastAsia="仿宋_GB2312" w:cs="Times New Roman"/>
          <w:sz w:val="32"/>
          <w:szCs w:val="32"/>
          <w:highlight w:val="none"/>
        </w:rPr>
        <w:t>，指标值：&lt;=3万元，实际完成值：</w:t>
      </w:r>
      <w:r>
        <w:rPr>
          <w:rFonts w:hint="eastAsia" w:eastAsia="仿宋_GB2312" w:cs="Times New Roman"/>
          <w:sz w:val="32"/>
          <w:szCs w:val="32"/>
          <w:highlight w:val="none"/>
          <w:lang w:val="en-US" w:eastAsia="zh-CN"/>
        </w:rPr>
        <w:t>2.74</w:t>
      </w:r>
      <w:r>
        <w:rPr>
          <w:rFonts w:hint="eastAsia" w:ascii="Times New Roman" w:hAnsi="Times New Roman" w:eastAsia="仿宋_GB2312" w:cs="Times New Roman"/>
          <w:sz w:val="32"/>
          <w:szCs w:val="32"/>
          <w:highlight w:val="none"/>
          <w:lang w:val="en-US" w:eastAsia="zh-CN"/>
        </w:rPr>
        <w:t>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91.23</w:t>
      </w:r>
      <w:r>
        <w:rPr>
          <w:rFonts w:hint="default" w:ascii="Times New Roman" w:hAnsi="Times New Roman" w:eastAsia="仿宋_GB2312" w:cs="Times New Roman"/>
          <w:sz w:val="32"/>
          <w:szCs w:val="32"/>
          <w:highlight w:val="none"/>
        </w:rPr>
        <w:t>%</w:t>
      </w:r>
      <w:bookmarkEnd w:id="5"/>
      <w:r>
        <w:rPr>
          <w:rFonts w:hint="eastAsia" w:eastAsia="仿宋_GB2312" w:cs="Times New Roman"/>
          <w:sz w:val="32"/>
          <w:szCs w:val="32"/>
          <w:highlight w:val="none"/>
          <w:lang w:eastAsia="zh-CN"/>
        </w:rPr>
        <w:t>；</w:t>
      </w:r>
    </w:p>
    <w:p>
      <w:pPr>
        <w:pStyle w:val="12"/>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项目效</w:t>
      </w:r>
      <w:r>
        <w:rPr>
          <w:rFonts w:hint="default" w:ascii="Times New Roman" w:hAnsi="Times New Roman" w:eastAsia="仿宋_GB2312" w:cs="Times New Roman"/>
          <w:sz w:val="32"/>
          <w:szCs w:val="32"/>
          <w:highlight w:val="none"/>
          <w:lang w:val="en-US" w:eastAsia="zh-CN"/>
        </w:rPr>
        <w:t>益类指标包括项目实施效益和满意度两方面的内容，由</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pPr>
        <w:shd w:val="clear"/>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bookmarkStart w:id="6" w:name="OLE_LINK7"/>
      <w:r>
        <w:rPr>
          <w:rFonts w:hint="default" w:ascii="Times New Roman" w:hAnsi="Times New Roman" w:eastAsia="仿宋_GB2312" w:cs="Times New Roman"/>
          <w:sz w:val="32"/>
          <w:szCs w:val="32"/>
          <w:highlight w:val="none"/>
        </w:rPr>
        <w:t>指标1：</w:t>
      </w:r>
      <w:bookmarkStart w:id="7" w:name="OLE_LINK12"/>
      <w:r>
        <w:rPr>
          <w:rFonts w:hint="default" w:ascii="Times New Roman" w:hAnsi="Times New Roman" w:eastAsia="仿宋_GB2312" w:cs="Times New Roman"/>
          <w:sz w:val="32"/>
          <w:szCs w:val="32"/>
          <w:highlight w:val="none"/>
        </w:rPr>
        <w:t>城乡抗震安居工程建设房屋安全隐患排查整治成果</w:t>
      </w:r>
      <w:bookmarkEnd w:id="7"/>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eastAsia="zh-CN"/>
        </w:rPr>
        <w:t>成效明显</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成效明显</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bookmarkEnd w:id="6"/>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指标1：服务对象满意度，指标值：&gt;=9</w:t>
      </w:r>
      <w:r>
        <w:rPr>
          <w:rFonts w:hint="eastAsia"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95</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105</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；偏差原因：年初制定绩效目标时预期值设置偏低。</w:t>
      </w: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spacing w:line="560" w:lineRule="exact"/>
        <w:ind w:firstLine="640" w:firstLineChars="200"/>
        <w:rPr>
          <w:rFonts w:hint="default" w:ascii="Times New Roman" w:hAnsi="Times New Roman" w:eastAsia="仿宋_GB2312" w:cs="Times New Roman"/>
          <w:sz w:val="32"/>
          <w:szCs w:val="32"/>
          <w:highlight w:val="yellow"/>
        </w:rPr>
      </w:pPr>
      <w:r>
        <w:rPr>
          <w:rFonts w:hint="default" w:ascii="Times New Roman" w:hAnsi="Times New Roman" w:eastAsia="仿宋_GB2312" w:cs="Times New Roman"/>
          <w:sz w:val="32"/>
          <w:szCs w:val="32"/>
        </w:rPr>
        <w:t>伊州财建[2024]81号伊犁州特克斯县</w:t>
      </w:r>
      <w:r>
        <w:rPr>
          <w:rFonts w:hint="eastAsia" w:eastAsia="仿宋_GB2312" w:cs="Times New Roman"/>
          <w:sz w:val="32"/>
          <w:szCs w:val="32"/>
          <w:lang w:eastAsia="zh-CN"/>
        </w:rPr>
        <w:t>齐勒乌泽克镇</w:t>
      </w:r>
      <w:r>
        <w:rPr>
          <w:rFonts w:hint="default" w:ascii="Times New Roman" w:hAnsi="Times New Roman" w:eastAsia="仿宋_GB2312" w:cs="Times New Roman"/>
          <w:sz w:val="32"/>
          <w:szCs w:val="32"/>
        </w:rPr>
        <w:t>2024年度牧民越冬放牧点生产用房（居住）建设项目年初预算</w:t>
      </w:r>
      <w:r>
        <w:rPr>
          <w:rFonts w:hint="eastAsia" w:eastAsia="仿宋_GB2312" w:cs="Times New Roman"/>
          <w:sz w:val="32"/>
          <w:szCs w:val="32"/>
          <w:lang w:val="en-US" w:eastAsia="zh-CN"/>
        </w:rPr>
        <w:t>183万元</w:t>
      </w:r>
      <w:r>
        <w:rPr>
          <w:rFonts w:hint="default" w:ascii="Times New Roman" w:hAnsi="Times New Roman" w:eastAsia="仿宋_GB2312" w:cs="Times New Roman"/>
          <w:sz w:val="32"/>
          <w:szCs w:val="32"/>
        </w:rPr>
        <w:t>，全年预算</w:t>
      </w:r>
      <w:r>
        <w:rPr>
          <w:rFonts w:hint="eastAsia" w:eastAsia="仿宋_GB2312" w:cs="Times New Roman"/>
          <w:sz w:val="32"/>
          <w:szCs w:val="32"/>
          <w:lang w:val="en-US" w:eastAsia="zh-CN"/>
        </w:rPr>
        <w:t>183万元</w:t>
      </w:r>
      <w:r>
        <w:rPr>
          <w:rFonts w:hint="default" w:ascii="Times New Roman" w:hAnsi="Times New Roman" w:eastAsia="仿宋_GB2312" w:cs="Times New Roman"/>
          <w:sz w:val="32"/>
          <w:szCs w:val="32"/>
        </w:rPr>
        <w:t>，实际支出</w:t>
      </w:r>
      <w:r>
        <w:rPr>
          <w:rFonts w:hint="eastAsia" w:eastAsia="仿宋_GB2312" w:cs="Times New Roman"/>
          <w:sz w:val="32"/>
          <w:szCs w:val="32"/>
          <w:lang w:val="en-US" w:eastAsia="zh-CN"/>
        </w:rPr>
        <w:t>166.96万元</w:t>
      </w:r>
      <w:r>
        <w:rPr>
          <w:rFonts w:hint="default" w:ascii="Times New Roman" w:hAnsi="Times New Roman" w:eastAsia="仿宋_GB2312" w:cs="Times New Roman"/>
          <w:sz w:val="32"/>
          <w:szCs w:val="32"/>
        </w:rPr>
        <w:t>，预算执行率为</w:t>
      </w:r>
      <w:r>
        <w:rPr>
          <w:rFonts w:hint="eastAsia" w:eastAsia="仿宋_GB2312" w:cs="Times New Roman"/>
          <w:sz w:val="32"/>
          <w:szCs w:val="32"/>
          <w:lang w:val="en-US" w:eastAsia="zh-CN"/>
        </w:rPr>
        <w:t>91.23</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highlight w:val="none"/>
        </w:rPr>
        <w:t>，项目绩效指标总体完成率为</w:t>
      </w:r>
      <w:r>
        <w:rPr>
          <w:rFonts w:hint="eastAsia" w:eastAsia="仿宋_GB2312" w:cs="Times New Roman"/>
          <w:sz w:val="32"/>
          <w:szCs w:val="32"/>
          <w:highlight w:val="none"/>
          <w:lang w:val="en-US" w:eastAsia="zh-CN"/>
        </w:rPr>
        <w:t>98.35</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Hans"/>
        </w:rPr>
        <w:t>总体</w:t>
      </w:r>
      <w:r>
        <w:rPr>
          <w:rFonts w:hint="default" w:ascii="Times New Roman" w:hAnsi="Times New Roman" w:eastAsia="仿宋_GB2312" w:cs="Times New Roman"/>
          <w:sz w:val="32"/>
          <w:szCs w:val="32"/>
          <w:highlight w:val="none"/>
        </w:rPr>
        <w:t>偏差率为</w:t>
      </w:r>
      <w:r>
        <w:rPr>
          <w:rFonts w:hint="eastAsia" w:eastAsia="仿宋_GB2312" w:cs="Times New Roman"/>
          <w:sz w:val="32"/>
          <w:szCs w:val="32"/>
          <w:highlight w:val="none"/>
          <w:lang w:val="en-US" w:eastAsia="zh-CN"/>
        </w:rPr>
        <w:t>1.75</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偏差原因：</w:t>
      </w:r>
      <w:r>
        <w:rPr>
          <w:rFonts w:hint="default" w:ascii="Times New Roman" w:hAnsi="Times New Roman" w:eastAsia="仿宋_GB2312" w:cs="Times New Roman"/>
          <w:sz w:val="32"/>
          <w:szCs w:val="32"/>
          <w:highlight w:val="none"/>
        </w:rPr>
        <w:t>因资料不到位，导致资金支付不到位，还需要加强资料收集相关事宜。</w:t>
      </w:r>
    </w:p>
    <w:p>
      <w:pPr>
        <w:spacing w:line="560" w:lineRule="exact"/>
        <w:ind w:firstLine="640" w:firstLineChars="200"/>
        <w:rPr>
          <w:rStyle w:val="18"/>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bookmarkStart w:id="8" w:name="OLE_LINK8"/>
      <w:r>
        <w:rPr>
          <w:rFonts w:hint="default" w:ascii="Times New Roman" w:hAnsi="Times New Roman" w:eastAsia="楷体_GB2312" w:cs="Times New Roman"/>
          <w:b/>
          <w:bCs/>
          <w:sz w:val="32"/>
          <w:szCs w:val="32"/>
        </w:rPr>
        <w:t>存在的问题及原因分析</w:t>
      </w:r>
      <w:bookmarkEnd w:id="8"/>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w:t>
      </w:r>
      <w:r>
        <w:rPr>
          <w:rFonts w:hint="eastAsia" w:eastAsia="仿宋_GB2312" w:cs="Times New Roman"/>
          <w:sz w:val="32"/>
          <w:szCs w:val="32"/>
          <w:highlight w:val="none"/>
          <w:lang w:val="en-US" w:eastAsia="zh-CN"/>
        </w:rPr>
        <w:t>因资料不到位，导致资金支付不到位，还需要加强资料收集相关事宜</w:t>
      </w:r>
      <w:r>
        <w:rPr>
          <w:rFonts w:hint="default" w:ascii="Times New Roman" w:hAnsi="Times New Roman" w:eastAsia="仿宋_GB2312" w:cs="Times New Roman"/>
          <w:sz w:val="32"/>
          <w:szCs w:val="32"/>
          <w:highlight w:val="none"/>
          <w:lang w:val="en-US" w:eastAsia="zh-CN"/>
        </w:rPr>
        <w:t>。</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9" w:name="page8"/>
      <w:bookmarkEnd w:id="9"/>
      <w:r>
        <w:rPr>
          <w:rFonts w:hint="default" w:ascii="Times New Roman" w:hAnsi="Times New Roman" w:eastAsia="黑体" w:cs="Times New Roman"/>
          <w:sz w:val="32"/>
          <w:szCs w:val="32"/>
        </w:rPr>
        <w:t>明的问题</w:t>
      </w:r>
    </w:p>
    <w:p>
      <w:pPr>
        <w:pStyle w:val="13"/>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0"/>
        <w:rPr>
          <w:rFonts w:hint="default" w:ascii="Times New Roman" w:hAnsi="Times New Roman" w:eastAsia="仿宋_GB2312" w:cs="Times New Roman"/>
          <w:sz w:val="32"/>
          <w:szCs w:val="32"/>
        </w:rPr>
      </w:pPr>
    </w:p>
    <w:p>
      <w:pPr>
        <w:pStyle w:val="13"/>
        <w:spacing w:after="0" w:line="560" w:lineRule="exact"/>
        <w:ind w:left="0" w:leftChars="0" w:firstLine="640"/>
        <w:rPr>
          <w:rFonts w:hint="default" w:ascii="Times New Roman" w:hAnsi="Times New Roman" w:eastAsia="仿宋_GB2312" w:cs="Times New Roman"/>
          <w:sz w:val="32"/>
          <w:szCs w:val="32"/>
        </w:rPr>
      </w:pPr>
    </w:p>
    <w:p>
      <w:pPr>
        <w:pStyle w:val="13"/>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19"/>
        <w:ind w:firstLine="562"/>
        <w:jc w:val="center"/>
        <w:rPr>
          <w:rFonts w:hint="eastAsia" w:ascii="仿宋_GB2312" w:hAnsi="仿宋_GB2312" w:eastAsia="仿宋_GB2312" w:cs="仿宋_GB2312"/>
          <w:sz w:val="28"/>
          <w:szCs w:val="40"/>
        </w:rPr>
      </w:pPr>
      <w:bookmarkStart w:id="10" w:name="_Toc30064_WPSOffice_Level1"/>
      <w:bookmarkStart w:id="11" w:name="_Toc26499_WPSOffice_Level2"/>
      <w:r>
        <w:rPr>
          <w:rFonts w:hint="eastAsia" w:ascii="仿宋_GB2312" w:hAnsi="仿宋_GB2312" w:eastAsia="仿宋_GB2312" w:cs="仿宋_GB2312"/>
          <w:b/>
          <w:bCs/>
          <w:sz w:val="28"/>
          <w:szCs w:val="40"/>
        </w:rPr>
        <w:t>伊州财建[2024]81号伊犁州特克斯县</w:t>
      </w:r>
      <w:r>
        <w:rPr>
          <w:rFonts w:hint="eastAsia" w:ascii="仿宋_GB2312" w:hAnsi="仿宋_GB2312" w:eastAsia="仿宋_GB2312" w:cs="仿宋_GB2312"/>
          <w:b/>
          <w:bCs/>
          <w:sz w:val="28"/>
          <w:szCs w:val="40"/>
          <w:lang w:eastAsia="zh-CN"/>
        </w:rPr>
        <w:t>齐勒乌泽克镇</w:t>
      </w:r>
      <w:r>
        <w:rPr>
          <w:rFonts w:hint="eastAsia" w:ascii="仿宋_GB2312" w:hAnsi="仿宋_GB2312" w:eastAsia="仿宋_GB2312" w:cs="仿宋_GB2312"/>
          <w:b/>
          <w:bCs/>
          <w:sz w:val="28"/>
          <w:szCs w:val="40"/>
        </w:rPr>
        <w:t>2024年度牧民越冬放牧点生产用房（居住）建设项目绩效评价指标体系及综合评分表</w:t>
      </w:r>
      <w:bookmarkEnd w:id="10"/>
      <w:bookmarkEnd w:id="11"/>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992"/>
        <w:gridCol w:w="987"/>
        <w:gridCol w:w="1057"/>
        <w:gridCol w:w="1704"/>
        <w:gridCol w:w="5149"/>
        <w:gridCol w:w="1283"/>
        <w:gridCol w:w="134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680"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2055"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2055" w:type="pct"/>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3.65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680"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w:t>
            </w:r>
            <w:bookmarkStart w:id="15" w:name="_GoBack"/>
            <w:bookmarkEnd w:id="15"/>
            <w:r>
              <w:rPr>
                <w:rFonts w:hint="default" w:ascii="Times New Roman" w:hAnsi="Times New Roman" w:eastAsia="仿宋_GB2312" w:cs="Times New Roman"/>
                <w:color w:val="000000"/>
                <w:kern w:val="0"/>
                <w:sz w:val="18"/>
                <w:szCs w:val="18"/>
              </w:rPr>
              <w:t>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rPr>
          <w:rFonts w:hint="default" w:ascii="Times New Roman" w:hAnsi="Times New Roman" w:cs="Times New Roman"/>
        </w:rPr>
        <w:sectPr>
          <w:pgSz w:w="16838" w:h="11906" w:orient="landscape"/>
          <w:pgMar w:top="2098" w:right="1531" w:bottom="1984" w:left="1531"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05"/>
        <w:gridCol w:w="1275"/>
        <w:gridCol w:w="1295"/>
        <w:gridCol w:w="1529"/>
        <w:gridCol w:w="615"/>
        <w:gridCol w:w="1149"/>
        <w:gridCol w:w="912"/>
        <w:gridCol w:w="826"/>
        <w:gridCol w:w="871"/>
        <w:gridCol w:w="767"/>
        <w:gridCol w:w="1019"/>
        <w:gridCol w:w="819"/>
        <w:gridCol w:w="738"/>
        <w:gridCol w:w="1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422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伊州财建[2024]81号伊犁州特克斯县</w:t>
            </w:r>
            <w:r>
              <w:rPr>
                <w:rFonts w:hint="eastAsia" w:ascii="仿宋_GB2312" w:hAnsi="仿宋_GB2312" w:eastAsia="仿宋_GB2312" w:cs="仿宋_GB2312"/>
                <w:i w:val="0"/>
                <w:iCs w:val="0"/>
                <w:color w:val="000000"/>
                <w:sz w:val="18"/>
                <w:szCs w:val="18"/>
                <w:u w:val="none"/>
                <w:lang w:eastAsia="zh-CN"/>
              </w:rPr>
              <w:t>齐勒乌泽克镇</w:t>
            </w:r>
            <w:r>
              <w:rPr>
                <w:rFonts w:hint="eastAsia" w:ascii="仿宋_GB2312" w:hAnsi="仿宋_GB2312" w:eastAsia="仿宋_GB2312" w:cs="仿宋_GB2312"/>
                <w:i w:val="0"/>
                <w:iCs w:val="0"/>
                <w:color w:val="000000"/>
                <w:sz w:val="18"/>
                <w:szCs w:val="18"/>
                <w:u w:val="none"/>
              </w:rPr>
              <w:t>2024年度牧民越冬放牧点生产用房（居住）建设项目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196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特克斯县住房和城乡建设局</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特克斯县齐勒乌泽克镇人民政府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100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bookmarkStart w:id="12" w:name="OLE_LINK9" w:colFirst="2" w:colLast="6"/>
          </w:p>
        </w:tc>
        <w:tc>
          <w:tcPr>
            <w:tcW w:w="100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183</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183</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166.96</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91.23%</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w:t>
            </w:r>
          </w:p>
        </w:tc>
      </w:tr>
      <w:bookmarkEnd w:id="12"/>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0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183</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183</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rPr>
            </w:pPr>
            <w:r>
              <w:rPr>
                <w:rFonts w:hint="eastAsia" w:ascii="仿宋_GB2312" w:hAnsi="仿宋_GB2312" w:eastAsia="仿宋_GB2312" w:cs="仿宋_GB2312"/>
                <w:i w:val="0"/>
                <w:iCs w:val="0"/>
                <w:color w:val="000000"/>
                <w:sz w:val="18"/>
                <w:szCs w:val="18"/>
                <w:u w:val="none"/>
                <w:lang w:val="en-US" w:eastAsia="zh-CN"/>
              </w:rPr>
              <w:t>166.96</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09"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219"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73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60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通过《关于下达2024年城乡抗震安居工程建设民生实施资金预算的通知》伊州财建【2024】81号，完成拆除及新建工作。在综合研判我镇牧区地质结构和运费的基础上，实施面积为15-30平方米木结构房屋，轻钢房，共建</w:t>
            </w:r>
            <w:r>
              <w:rPr>
                <w:rFonts w:hint="eastAsia" w:ascii="仿宋_GB2312" w:hAnsi="仿宋_GB2312" w:eastAsia="仿宋_GB2312" w:cs="仿宋_GB2312"/>
                <w:i w:val="0"/>
                <w:iCs w:val="0"/>
                <w:color w:val="000000"/>
                <w:sz w:val="18"/>
                <w:szCs w:val="18"/>
                <w:u w:val="none"/>
                <w:lang w:val="en-US" w:eastAsia="zh-CN"/>
              </w:rPr>
              <w:t>61</w:t>
            </w:r>
            <w:r>
              <w:rPr>
                <w:rFonts w:hint="eastAsia" w:ascii="仿宋_GB2312" w:hAnsi="仿宋_GB2312" w:eastAsia="仿宋_GB2312" w:cs="仿宋_GB2312"/>
                <w:i w:val="0"/>
                <w:iCs w:val="0"/>
                <w:color w:val="000000"/>
                <w:sz w:val="18"/>
                <w:szCs w:val="18"/>
                <w:u w:val="none"/>
              </w:rPr>
              <w:t>户，单户建房价格控制在3万元以内，同时达到抗震、保温、防水要求，牧民越冬放牧点生产用房(居住)建成后上级有关部门按照相关要求进行验收。改善牧民生活环境，提供牧民住房保障，提供居民生活水平。</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完成牧民越冬放牧点生产用房建设</w:t>
            </w:r>
            <w:r>
              <w:rPr>
                <w:rFonts w:hint="eastAsia" w:ascii="仿宋_GB2312" w:hAnsi="仿宋_GB2312" w:eastAsia="仿宋_GB2312" w:cs="仿宋_GB2312"/>
                <w:i w:val="0"/>
                <w:iCs w:val="0"/>
                <w:color w:val="000000"/>
                <w:sz w:val="18"/>
                <w:szCs w:val="18"/>
                <w:u w:val="none"/>
                <w:lang w:val="en-US" w:eastAsia="zh-CN"/>
              </w:rPr>
              <w:t>61</w:t>
            </w:r>
            <w:r>
              <w:rPr>
                <w:rFonts w:hint="eastAsia" w:ascii="仿宋_GB2312" w:hAnsi="仿宋_GB2312" w:eastAsia="仿宋_GB2312" w:cs="仿宋_GB2312"/>
                <w:i w:val="0"/>
                <w:iCs w:val="0"/>
                <w:color w:val="000000"/>
                <w:sz w:val="18"/>
                <w:szCs w:val="18"/>
                <w:u w:val="none"/>
              </w:rPr>
              <w:t>户，每户成本3万元，经验收达到了抗震、保温、防水要求，改善了本镇牧民越冬放牧点居住环境、生活环境，为农牧民提供住房保障，提高了我镇牧民生活水平。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219"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410"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325"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295"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311"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274"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364"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292"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263"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454"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bookmarkStart w:id="13" w:name="OLE_LINK10" w:colFirst="3" w:colLast="13"/>
          </w:p>
        </w:tc>
        <w:tc>
          <w:tcPr>
            <w:tcW w:w="455"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462"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546" w:type="pct"/>
            <w:tcBorders>
              <w:top w:val="single" w:color="000000" w:sz="4" w:space="0"/>
              <w:left w:val="nil"/>
              <w:bottom w:val="single" w:color="000000"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新建越冬房户数</w:t>
            </w:r>
          </w:p>
        </w:tc>
        <w:tc>
          <w:tcPr>
            <w:tcW w:w="219"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w:t>
            </w:r>
            <w:r>
              <w:rPr>
                <w:rFonts w:hint="eastAsia" w:ascii="仿宋_GB2312" w:hAnsi="仿宋_GB2312" w:eastAsia="仿宋_GB2312" w:cs="仿宋_GB2312"/>
                <w:i w:val="0"/>
                <w:iCs w:val="0"/>
                <w:color w:val="000000"/>
                <w:sz w:val="18"/>
                <w:szCs w:val="18"/>
                <w:u w:val="none"/>
                <w:lang w:val="en-US" w:eastAsia="zh-CN"/>
              </w:rPr>
              <w:t>61</w:t>
            </w:r>
            <w:r>
              <w:rPr>
                <w:rFonts w:hint="eastAsia" w:ascii="仿宋_GB2312" w:hAnsi="仿宋_GB2312" w:eastAsia="仿宋_GB2312" w:cs="仿宋_GB2312"/>
                <w:i w:val="0"/>
                <w:iCs w:val="0"/>
                <w:color w:val="000000"/>
                <w:sz w:val="18"/>
                <w:szCs w:val="18"/>
                <w:u w:val="none"/>
              </w:rPr>
              <w:t>户</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61户</w:t>
            </w:r>
          </w:p>
        </w:tc>
        <w:tc>
          <w:tcPr>
            <w:tcW w:w="292"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45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城乡抗震安居工程建设民生实事涉及县市区数</w:t>
            </w:r>
            <w:r>
              <w:rPr>
                <w:rFonts w:hint="eastAsia" w:ascii="仿宋_GB2312" w:hAnsi="仿宋_GB2312" w:eastAsia="仿宋_GB2312" w:cs="仿宋_GB2312"/>
                <w:i w:val="0"/>
                <w:iCs w:val="0"/>
                <w:color w:val="000000"/>
                <w:sz w:val="18"/>
                <w:szCs w:val="18"/>
                <w:u w:val="none"/>
                <w:lang w:eastAsia="zh-CN"/>
              </w:rPr>
              <w:tab/>
            </w:r>
          </w:p>
        </w:tc>
        <w:tc>
          <w:tcPr>
            <w:tcW w:w="219"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rPr>
              <w:t>&gt;=</w:t>
            </w:r>
            <w:r>
              <w:rPr>
                <w:rFonts w:hint="eastAsia" w:ascii="仿宋_GB2312" w:hAnsi="仿宋_GB2312" w:eastAsia="仿宋_GB2312" w:cs="仿宋_GB2312"/>
                <w:i w:val="0"/>
                <w:iCs w:val="0"/>
                <w:color w:val="000000"/>
                <w:sz w:val="18"/>
                <w:szCs w:val="18"/>
                <w:u w:val="none"/>
                <w:lang w:val="en-US" w:eastAsia="zh-CN"/>
              </w:rPr>
              <w:t>1个</w:t>
            </w:r>
          </w:p>
        </w:tc>
        <w:tc>
          <w:tcPr>
            <w:tcW w:w="410"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8</w:t>
            </w:r>
          </w:p>
        </w:tc>
        <w:tc>
          <w:tcPr>
            <w:tcW w:w="311"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1个</w:t>
            </w:r>
          </w:p>
        </w:tc>
        <w:tc>
          <w:tcPr>
            <w:tcW w:w="292"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8</w:t>
            </w:r>
          </w:p>
        </w:tc>
        <w:tc>
          <w:tcPr>
            <w:tcW w:w="454"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bookmarkEnd w:id="13"/>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竣工验收合格率</w:t>
            </w:r>
          </w:p>
        </w:tc>
        <w:tc>
          <w:tcPr>
            <w:tcW w:w="219"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410"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311"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92"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454"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vMerge w:val="continue"/>
            <w:tcBorders>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工程完工率</w:t>
            </w:r>
          </w:p>
        </w:tc>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8</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kern w:val="2"/>
                <w:sz w:val="18"/>
                <w:szCs w:val="18"/>
                <w:u w:val="none"/>
                <w:lang w:val="en-US" w:eastAsia="zh-CN" w:bidi="ar-SA"/>
              </w:rPr>
              <w:t>8</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工作任务完成时限</w:t>
            </w:r>
          </w:p>
        </w:tc>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2024年11月30日</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2024年11月30日</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每户越冬房成本</w:t>
            </w:r>
          </w:p>
        </w:tc>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&lt;=3万元</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2.74万元</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91.23%</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18.25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经济效益指标</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城乡抗震安居工程建设资金需求</w:t>
            </w:r>
          </w:p>
        </w:tc>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=183万元</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183万元</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bookmarkStart w:id="14" w:name="OLE_LINK13" w:colFirst="8" w:colLast="9"/>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城乡抗震安居工程建设房屋安全隐患排查整治成果</w:t>
            </w:r>
          </w:p>
        </w:tc>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成效明显</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成效明显</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bookmarkEnd w:id="14"/>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生态效益指标</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服务对象满意度</w:t>
            </w:r>
          </w:p>
        </w:tc>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w:t>
            </w:r>
            <w:r>
              <w:rPr>
                <w:rFonts w:hint="eastAsia" w:ascii="仿宋_GB2312" w:hAnsi="仿宋_GB2312" w:eastAsia="仿宋_GB2312" w:cs="仿宋_GB2312"/>
                <w:i w:val="0"/>
                <w:iCs w:val="0"/>
                <w:color w:val="000000"/>
                <w:sz w:val="18"/>
                <w:szCs w:val="18"/>
                <w:u w:val="none"/>
                <w:lang w:val="en-US" w:eastAsia="zh-CN"/>
              </w:rPr>
              <w:t>0</w:t>
            </w:r>
            <w:r>
              <w:rPr>
                <w:rFonts w:hint="eastAsia" w:ascii="仿宋_GB2312" w:hAnsi="仿宋_GB2312" w:eastAsia="仿宋_GB2312" w:cs="仿宋_GB2312"/>
                <w:i w:val="0"/>
                <w:iCs w:val="0"/>
                <w:color w:val="000000"/>
                <w:sz w:val="18"/>
                <w:szCs w:val="18"/>
                <w:u w:val="none"/>
              </w:rPr>
              <w:t>%</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95%</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105%</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788" w:type="pct"/>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88.25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rPr>
      </w:pPr>
    </w:p>
    <w:sectPr>
      <w:pgSz w:w="16838" w:h="11906" w:orient="landscape"/>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510197"/>
    <w:rsid w:val="03EC461B"/>
    <w:rsid w:val="07397B77"/>
    <w:rsid w:val="0AD007F3"/>
    <w:rsid w:val="0E3C619F"/>
    <w:rsid w:val="100F38EC"/>
    <w:rsid w:val="11170296"/>
    <w:rsid w:val="12C66037"/>
    <w:rsid w:val="12CD1ABC"/>
    <w:rsid w:val="13471461"/>
    <w:rsid w:val="13501FD4"/>
    <w:rsid w:val="13B90F01"/>
    <w:rsid w:val="155E4C4D"/>
    <w:rsid w:val="181066D2"/>
    <w:rsid w:val="1C671E73"/>
    <w:rsid w:val="1D322C47"/>
    <w:rsid w:val="23616034"/>
    <w:rsid w:val="23696C97"/>
    <w:rsid w:val="24480FA2"/>
    <w:rsid w:val="25227A45"/>
    <w:rsid w:val="268E254D"/>
    <w:rsid w:val="26AC3A6A"/>
    <w:rsid w:val="2A9971CE"/>
    <w:rsid w:val="2B9D7E25"/>
    <w:rsid w:val="2C7C7A3B"/>
    <w:rsid w:val="2F2E6DE0"/>
    <w:rsid w:val="2F364819"/>
    <w:rsid w:val="2FD63906"/>
    <w:rsid w:val="34C6220B"/>
    <w:rsid w:val="37215DAE"/>
    <w:rsid w:val="38CA40DD"/>
    <w:rsid w:val="395F2B56"/>
    <w:rsid w:val="39B969D0"/>
    <w:rsid w:val="3BBA0580"/>
    <w:rsid w:val="3BECE841"/>
    <w:rsid w:val="3CDE204C"/>
    <w:rsid w:val="3D363C36"/>
    <w:rsid w:val="3E9C3F6D"/>
    <w:rsid w:val="3FF7797D"/>
    <w:rsid w:val="44B21222"/>
    <w:rsid w:val="46690BD8"/>
    <w:rsid w:val="49F70BF1"/>
    <w:rsid w:val="4AE25395"/>
    <w:rsid w:val="4B4340EE"/>
    <w:rsid w:val="503D507A"/>
    <w:rsid w:val="51FA74D0"/>
    <w:rsid w:val="52AA4A52"/>
    <w:rsid w:val="53DD72B6"/>
    <w:rsid w:val="59943D66"/>
    <w:rsid w:val="59E051FD"/>
    <w:rsid w:val="59E6355E"/>
    <w:rsid w:val="5B821531"/>
    <w:rsid w:val="5BFF6039"/>
    <w:rsid w:val="5D76A616"/>
    <w:rsid w:val="5D7F20B9"/>
    <w:rsid w:val="5DAC7D0E"/>
    <w:rsid w:val="5F98B5AF"/>
    <w:rsid w:val="5FFE8511"/>
    <w:rsid w:val="5FFEACE2"/>
    <w:rsid w:val="609D5BF6"/>
    <w:rsid w:val="61073070"/>
    <w:rsid w:val="61B9080E"/>
    <w:rsid w:val="61DF3FED"/>
    <w:rsid w:val="642B176B"/>
    <w:rsid w:val="643EE26D"/>
    <w:rsid w:val="656019A0"/>
    <w:rsid w:val="65F242EE"/>
    <w:rsid w:val="666D7E19"/>
    <w:rsid w:val="68376930"/>
    <w:rsid w:val="68F91E38"/>
    <w:rsid w:val="6B3158B9"/>
    <w:rsid w:val="6BA02A3F"/>
    <w:rsid w:val="6C1E5A53"/>
    <w:rsid w:val="6DCC0D69"/>
    <w:rsid w:val="6F5C41AC"/>
    <w:rsid w:val="6FAF6C78"/>
    <w:rsid w:val="716167CC"/>
    <w:rsid w:val="718A7AD1"/>
    <w:rsid w:val="72A44BC2"/>
    <w:rsid w:val="7317C656"/>
    <w:rsid w:val="734ED73F"/>
    <w:rsid w:val="73C82B32"/>
    <w:rsid w:val="73F94DAE"/>
    <w:rsid w:val="74220495"/>
    <w:rsid w:val="747D1B6F"/>
    <w:rsid w:val="749E5641"/>
    <w:rsid w:val="75A24676"/>
    <w:rsid w:val="76271066"/>
    <w:rsid w:val="77FD8BE9"/>
    <w:rsid w:val="78000AED"/>
    <w:rsid w:val="79A9BD3F"/>
    <w:rsid w:val="7B776F12"/>
    <w:rsid w:val="7BFFFDD0"/>
    <w:rsid w:val="7C336E5F"/>
    <w:rsid w:val="7C7977D2"/>
    <w:rsid w:val="7C8D4919"/>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29</Pages>
  <Words>12869</Words>
  <Characters>13416</Characters>
  <Lines>58</Lines>
  <Paragraphs>16</Paragraphs>
  <TotalTime>37</TotalTime>
  <ScaleCrop>false</ScaleCrop>
  <LinksUpToDate>false</LinksUpToDate>
  <CharactersWithSpaces>13433</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2025-07-22T10:40:43Z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eyJoZGlkIjoiOTFkY2UzN2U5OTM5MzZhOTlkMTFiMDljZTU3YmRhNDYiLCJ1c2VySWQiOiIxMDEyNTkyMzkzIn0=</vt:lpwstr>
  </property>
</Properties>
</file>