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特克斯县高级中学2024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（1）宣传贯彻党的路线、方针、政策，坚持正确的办学方向，有效保障学校教育教学的可持续发展。</w:t>
      </w:r>
    </w:p>
    <w:p>
      <w:pPr>
        <w:spacing w:line="580" w:lineRule="exact"/>
        <w:ind w:firstLine="640"/>
        <w:jc w:val="both"/>
      </w:pPr>
      <w:r>
        <w:rPr>
          <w:rFonts w:ascii="仿宋_GB2312" w:hAnsi="仿宋_GB2312" w:eastAsia="仿宋_GB2312"/>
          <w:sz w:val="32"/>
        </w:rPr>
        <w:t>（2）宣传党的教育理论，指导干部学习党的理论，培养合格的教师队伍，有效提高教师的国家通用语言文字教育教学水平。</w:t>
      </w:r>
    </w:p>
    <w:p>
      <w:pPr>
        <w:spacing w:line="580" w:lineRule="exact"/>
        <w:ind w:firstLine="640"/>
        <w:jc w:val="both"/>
      </w:pPr>
      <w:r>
        <w:rPr>
          <w:rFonts w:ascii="仿宋_GB2312" w:hAnsi="仿宋_GB2312" w:eastAsia="仿宋_GB2312"/>
          <w:sz w:val="32"/>
        </w:rPr>
        <w:t>（3）按照上级部门工作要求，认真开展学校绩效量化考核工作，有效提升教师的工作积极性。</w:t>
      </w:r>
    </w:p>
    <w:p>
      <w:pPr>
        <w:spacing w:line="580" w:lineRule="exact"/>
        <w:ind w:firstLine="640"/>
        <w:jc w:val="both"/>
      </w:pPr>
      <w:r>
        <w:rPr>
          <w:rFonts w:ascii="仿宋_GB2312" w:hAnsi="仿宋_GB2312" w:eastAsia="仿宋_GB2312"/>
          <w:sz w:val="32"/>
        </w:rPr>
        <w:t>（4）完善德育机制，形成工作合力，有效开展学校的德育教学。</w:t>
      </w:r>
    </w:p>
    <w:p>
      <w:pPr>
        <w:spacing w:line="580" w:lineRule="exact"/>
        <w:ind w:firstLine="640"/>
        <w:jc w:val="both"/>
      </w:pPr>
      <w:r>
        <w:rPr>
          <w:rFonts w:ascii="仿宋_GB2312" w:hAnsi="仿宋_GB2312" w:eastAsia="仿宋_GB2312"/>
          <w:sz w:val="32"/>
        </w:rPr>
        <w:t>（5）加强学校民族团结教育，有效培养师生民族团结意识。</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特克斯县高级中学2024年度，实有人数365人，其中：在职人员254人，增加6人；离休人员0人，增加0人；退休人员111人,增加3人。</w:t>
      </w:r>
    </w:p>
    <w:p>
      <w:pPr>
        <w:spacing w:line="580" w:lineRule="exact"/>
        <w:ind w:firstLine="640"/>
        <w:jc w:val="both"/>
      </w:pPr>
      <w:r>
        <w:rPr>
          <w:rFonts w:ascii="仿宋_GB2312" w:hAnsi="仿宋_GB2312" w:eastAsia="仿宋_GB2312"/>
          <w:sz w:val="32"/>
        </w:rPr>
        <w:t>单位无下属预算单位，下设9个科室，分别是：办公室、党建办、工会室、教务处、德育处、教研室、妇联、后勤、宿管科。。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2024年度收入总计5,154.86万元，</w:t>
      </w:r>
      <w:r>
        <w:rPr>
          <w:rFonts w:ascii="仿宋_GB2312" w:hAnsi="仿宋_GB2312" w:eastAsia="仿宋_GB2312"/>
          <w:b w:val="0"/>
          <w:sz w:val="32"/>
        </w:rPr>
        <w:t>其中：本年收入合计5,154.86万元，使用非财政拨款结余（含专用结余）0.00万元，年初结转和结余0.00万元。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2024年度支出总计5,154.86万元，</w:t>
      </w:r>
      <w:r>
        <w:rPr>
          <w:rFonts w:ascii="仿宋_GB2312" w:hAnsi="仿宋_GB2312" w:eastAsia="仿宋_GB2312"/>
          <w:b w:val="0"/>
          <w:sz w:val="32"/>
        </w:rPr>
        <w:t>其中：本年支出合计5,154.86万元，结余分配0.00万元，年末结转和结余0.00万元。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431.25万元，增长9.13%，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本年收入5,154.86万元，</w:t>
      </w:r>
      <w:r>
        <w:rPr>
          <w:rFonts w:ascii="仿宋_GB2312" w:hAnsi="仿宋_GB2312" w:eastAsia="仿宋_GB2312"/>
          <w:b w:val="0"/>
          <w:sz w:val="32"/>
        </w:rPr>
        <w:t>其中：财政拨款收入5,154.86万元，占100.00%；上级补助收入0.00万元，占0.00%；事业收入0.00万元，占0.00%；经营收入0.00万元，占0.00%；附属单位上缴收入0.00万元，占0.00%；其他收入0.00万元，占0.00%。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本年支出5,154.86万元，</w:t>
      </w:r>
      <w:r>
        <w:rPr>
          <w:rFonts w:ascii="仿宋_GB2312" w:hAnsi="仿宋_GB2312" w:eastAsia="仿宋_GB2312"/>
          <w:b w:val="0"/>
          <w:sz w:val="32"/>
        </w:rPr>
        <w:t>其中：基本支出5,154.86万元，占100.00%；项目支出0.00万元，占0.00%；上缴上级支出0.00万元，占0.00%；经营支出0.00万元，占0.00%；对附属单位补助支出0.00万元，占0.00%。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2024年度财政拨款收入总计5,154.86万元，</w:t>
      </w:r>
      <w:r>
        <w:rPr>
          <w:rFonts w:ascii="仿宋_GB2312" w:hAnsi="仿宋_GB2312" w:eastAsia="仿宋_GB2312"/>
          <w:b w:val="0"/>
          <w:sz w:val="32"/>
        </w:rPr>
        <w:t>其中：年初财政拨款结转和结余0.00万元，本年财政拨款收入5,154.86万元。</w:t>
      </w:r>
      <w:r>
        <w:rPr>
          <w:rFonts w:ascii="仿宋_GB2312" w:hAnsi="仿宋_GB2312" w:eastAsia="仿宋_GB2312"/>
          <w:b/>
          <w:sz w:val="32"/>
        </w:rPr>
        <w:t>财政拨款支出总计5,154.86万元，</w:t>
      </w:r>
      <w:r>
        <w:rPr>
          <w:rFonts w:ascii="仿宋_GB2312" w:hAnsi="仿宋_GB2312" w:eastAsia="仿宋_GB2312"/>
          <w:b w:val="0"/>
          <w:sz w:val="32"/>
        </w:rPr>
        <w:t>其中：年末财政拨款结转和结余0.00万元，本年财政拨款支出5,154.86万元。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583.57万元，增长12.77%，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年初预算数4,691.97万元，决算数5,154.86万元，预决算差异率9.87%，主要原因是：年中追加人员工资、社保、公积金基数调增部分资金，导致预决算存在差异。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2024年度一般公共预算财政拨款支出5,154.86万元，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583.57万元，增长12.77%，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年初预算数4,691.97万元，决算数5,154.86万元，预决算差异率9.87%，主要原因是：年中追加人员工资、社保、公积金基数调增部分资金，导致预决算存在差异。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1.教育支出(类)4,369.73万元,占84.77%。</w:t>
      </w:r>
    </w:p>
    <w:p>
      <w:pPr>
        <w:spacing w:line="580" w:lineRule="exact"/>
        <w:ind w:firstLine="640"/>
        <w:jc w:val="both"/>
      </w:pPr>
      <w:r>
        <w:rPr>
          <w:rFonts w:ascii="仿宋_GB2312" w:hAnsi="仿宋_GB2312" w:eastAsia="仿宋_GB2312"/>
          <w:b w:val="0"/>
          <w:sz w:val="32"/>
        </w:rPr>
        <w:t>2.社会保障和就业支出(类)383.20万元,占7.43%。</w:t>
      </w:r>
    </w:p>
    <w:p>
      <w:pPr>
        <w:spacing w:line="580" w:lineRule="exact"/>
        <w:ind w:firstLine="640"/>
        <w:jc w:val="both"/>
      </w:pPr>
      <w:r>
        <w:rPr>
          <w:rFonts w:ascii="仿宋_GB2312" w:hAnsi="仿宋_GB2312" w:eastAsia="仿宋_GB2312"/>
          <w:b w:val="0"/>
          <w:sz w:val="32"/>
        </w:rPr>
        <w:t>3.卫生健康支出(类)50.94万元,占0.99%。</w:t>
      </w:r>
    </w:p>
    <w:p>
      <w:pPr>
        <w:spacing w:line="580" w:lineRule="exact"/>
        <w:ind w:firstLine="640"/>
        <w:jc w:val="both"/>
      </w:pPr>
      <w:r>
        <w:rPr>
          <w:rFonts w:ascii="仿宋_GB2312" w:hAnsi="仿宋_GB2312" w:eastAsia="仿宋_GB2312"/>
          <w:b w:val="0"/>
          <w:sz w:val="32"/>
        </w:rPr>
        <w:t>4.住房保障支出(类)350.99万元,占6.81%。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高中教育(项):支出决算数为4,369.73万元，比上年决算增加446.71万元，增长11.39%,主要原因是：1.人员基本工资增加。2.本年学生资助补助经费中央自治区直达高中助学金、学生资助补助经费中央自治区直达高中免学费、特克斯县高级中学2024年高中生均公用经费等项目资金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312.05万元，比上年决算减少24.64万元，下降7.32%,主要原因是：本年在职人员调入调出，人员职级不同，缴费基数不同，导致养老保险缴费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3.社会保障和就业支出(类)行政事业单位养老支出(款)机关事业单位职业年金缴费支出(项):支出决算数为46.43万元，比上年决算增加1.13万元，增长2.49%,主要原因是：退休人员增加，职业年金坐实资金增加。</w:t>
      </w:r>
    </w:p>
    <w:p>
      <w:pPr>
        <w:spacing w:line="580" w:lineRule="exact"/>
        <w:ind w:firstLine="640"/>
        <w:jc w:val="both"/>
      </w:pPr>
      <w:r>
        <w:rPr>
          <w:rFonts w:ascii="仿宋_GB2312" w:hAnsi="仿宋_GB2312" w:eastAsia="仿宋_GB2312"/>
          <w:b w:val="0"/>
          <w:sz w:val="32"/>
        </w:rPr>
        <w:t>4.社会保障和就业支出(类)抚恤(款)死亡抚恤(项):支出决算数为24.71万元，比上年决算增加24.71万元，增长100.00%,主要原因是：本年新增死亡人员较上年增加，死亡抚恤支出较上年增加。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50.16万元，比上年决算增加50.16万元，增长100.00%,主要原因是：本年功能科目调整，事业单位医疗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0.78万元，比上年决算增加0.78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7.住房保障支出(类)住房改革支出(款)住房公积金(项):支出决算数为350.99万元，比上年决算增加84.71万元，增长31.81%,主要原因是：本年在职人员工资基数调增，公积金缴费基数上涨，相应支出增加。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2024年度一般公共预算财政拨款基本支出5,154.86万元，其中：</w:t>
      </w:r>
      <w:r>
        <w:rPr>
          <w:rFonts w:ascii="仿宋_GB2312" w:hAnsi="仿宋_GB2312" w:eastAsia="仿宋_GB2312"/>
          <w:b/>
          <w:sz w:val="32"/>
        </w:rPr>
        <w:t>人员经费4,683.23万元，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公用经费471.63万元，</w:t>
      </w:r>
      <w:r>
        <w:rPr>
          <w:rFonts w:ascii="仿宋_GB2312" w:hAnsi="仿宋_GB2312" w:eastAsia="仿宋_GB2312"/>
          <w:b w:val="0"/>
          <w:sz w:val="32"/>
        </w:rPr>
        <w:t>包括：办公费、水费、电费、邮电费、取暖费、物业管理费、维修（护）费、培训费、工会经费、其他商品和服务支出。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2024年度特克斯县高级中学（事业单位）公用经费支出471.63万元，比上年增加301.50万元，增长177.22%，主要原因是：学生人数增加，公用经费支出增加。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2024年度政府采购支出总额102.05万元，其中：政府采购货物支出30.80万元、政府采购工程支出0.00万元、政府采购服务支出71.25万元。</w:t>
      </w:r>
    </w:p>
    <w:p>
      <w:pPr>
        <w:spacing w:line="580" w:lineRule="exact"/>
        <w:ind w:firstLine="640"/>
        <w:jc w:val="both"/>
      </w:pPr>
      <w:r>
        <w:rPr>
          <w:rFonts w:ascii="仿宋_GB2312" w:hAnsi="仿宋_GB2312" w:eastAsia="仿宋_GB2312"/>
          <w:b w:val="0"/>
          <w:sz w:val="32"/>
        </w:rPr>
        <w:t>授予中小企业合同金额70.40万元，占政府采购支出总额的68.99%，其中：授予小微企业合同金额69.52万元，占政府采购支出总额的68.12%。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14,665.01平方米，价值1,243.85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5,161.87万元，实际执行总额5,161.87万元；预算绩效评价项目5个，全年预算数1,041.39万元，全年执行数1,020.21万元。预算绩效管理取得的成效：一是注重绩效目标编制，预算编制环节注重编细编实预算需求，科学选择绩效指标，合理设置绩效目标值，并严格按照财政统一要求，规范编制事前绩效报告，为财政资金发挥效益夯实基础；二是落实绩效“双监控”，预算执行过程中，以年度支出计划为基础，定期分析预算执行和绩效目标落实情况，并依托财政预算绩效管理平台分5月、8月对预算执行动态进行实时监控，发现问题及时纠偏，确保绩效目标落地落实；三是扎实开展自评工作，年度终了，扎实开展了预算绩效目标完成情况部门审核和自评工作。发现的问题及原因：一是预算绩效管理观念淡薄，缺乏主动性。二是预算绩效管理的组织架构不够完善，缺乏统筹性。三是绩效型预算编制脱离实际，缺乏前瞻性。绩效型预算评价方法比较单一、简单，大都还是采用目标分析法、成本效益分析法等，主观因素判断占比较大，尚未主动尝试采用层次分析法等先进方法。四是固定资产管理水平有待提高，固定资产台账未及时与账面资产金额对账且末与实物进行清点及及时清理处置报废资产导致资产台账与账面资产金额存在差异,固定资产管理继续加强中。下一步改进措施：一是强化部门绩效管理体系建设，加大宣传力度，强化预算绩效意识。建立内部控制与预算绩效为核心的工作理念，紧密结合各部门的职能，明确各项分工。二是建立以解决问题为导向、指向未来的预算绩效管理模式。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5,011.57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5,011.57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5,161.87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5,161.87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273.22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273.22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4,380.75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4,380.75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4,846.47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4,846.47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坚持以习近平新时代中国特色社会主义思想为指导，全面贯彻落实党的二十大精神，加强党对学校工作全面领导，坚持党建统领，以“立德树人”为根本，以“为党育人、为国育才”为使命，牢固树立党建与业务融合发展理念，按照“党建促教学、党建促管理”工作思路，强基固本，立根铸魂，为学校高质量发展提供坚强政治保障。强化教师专业发展，提升教师教育教学能力，培养一批具有创新精神和实践能力的骨干教师。本学期计划组织教师参加各类培训、研讨活动不少于5次，教师参与率达到90%以上。2.优化教学过程管理，完善教学质量监控体系，提高教学质量。通过定期检查、随机抽查等方式，加强对教学常规的管理，使教师教学常规执行合格率达到95%以上。在本学期的各类考试中，各学科平均分、优秀率较上学期有明显提升。 根据教师的不同需求和发展阶段，有针对性地安排培训内容。包括邀请教育专家来校举办讲座，介绍最新的教育理念、教学方法和课程改革动态。开展师徒结对活动，为青年教师配备经验丰富的指导教师，通过师徒结对的方式，帮助青年教师尽快适应教学工作，提高教学水平。鼓励教师参加教学竞赛，积极组织教师参加各级各类教学竞赛，为教师提供展示自我、锻炼提升的平台坚持“发展教师、发展学生、发展学校”工作方向，立足校本教研，常态化开展教研活动，推进“双新”改革。重视教育教学研究，稳步推进集体备课，形成教学合力。继续推行示范课、观摩课、汇报课、达标课，落实“行政摇号听课”机制，开展有效课堂交流研究，努力提高教师课堂实效。3.根据《新疆维吾尔自治区学生资助资金管理办法》（新财规【2021】13号）和《新疆维吾尔自治区家庭经济困难学生认定办法（试行）》(新教规【2019】2号)文件精神，为加强我校国家助学金管理规范化，切实解决我校家庭经济困难学生的就学困难，确保国家的资助政策落到实处，使所有贫困学生都能享受到国家的资助政策，确保资助工作顺利实施。普通高中国家助学金资助范围为：具有正式学籍的普通高中在校生中家庭经济困难学生，按在校生的30%进行确定。2024年秋季学期在校生人数为3562人，2024至2025学年每学期计划资助学生数为1069人，平均资助标准为每生每学年2300元，具体分为三档进行补助，第一档每生每学年3300元，第二档每生每学年2300元，第三档每生每学年1300元。</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高中教育在校生规模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高中毕业生毕业率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困难学生资助覆盖率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高中阶段毛入学率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青年教师培训次数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质量目标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2024年学生资助补助经费中央自治区直达高中免学费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106.18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106.18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对符合条件的贫困学生实施免学费政策，每学期计划资助762贫困学生，助力国家扶贫惠民政策，减轻贫困学生家庭经济负担，推进教育公平，保证每一个孩子都有上学的权利，不让一名学生因家庭贫困而辍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普通高中免学杂费到位资金117万元，免学杂费标准为每生每学期715元，分两学期执行，每学期资助学生743人，覆盖所有在校建档立卡学生、农村低保学生、农村特困供养（孤儿）学生和家庭经济困难残疾学生，使高中阶段教育各项国家资助按规定落到实处，满足家庭经济困难学生基本生活需要。</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享受免学费人数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贫困生学生人数根据实际在下人数统计执行，与预算有所偏差。免学杂费政策政策有效减轻了贫困学生的家庭经济负担，体现了教育公平，保障了学生上学的权利，贫困学生及家庭对国家资助政策满意度提升。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建档立卡学生受助比例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免学费实施及时性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715元/生/学期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用于学校公用经费支出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资金已执行，包含在总执行106.18万元内，若仍填执行，执行总数将超出实际支出，因此设置为“执行0”。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87.44分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2024年学生资助补助经费中央自治区直达高中助学金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183.22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对符合条件的贫困学生实施国家助学金政策，每学期计划资助1072贫困学生，助力国家扶贫惠民政策，减轻贫困学生家庭经济负担，推进教育公平，保证每一个孩子都有上学的权利，不让一名学生因家庭贫困而辍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普通高中国家助学金上级资金到位202.22万元，分学期两次进行资助，每学期资助学生1071人，平均每生每学期享受资助940元，覆盖所有在校贫困学生，使高中阶段教育各项国家资助按规定落到实处，满足家庭经济困难学生基本生活需要。</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享受国家助学金人数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复核资助条件的学生已全部享受资助，享受资助人数以实际在校生为准，2个学期资助人数的平均值比预算少1人。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建档立卡贫困学生受助比例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平均资助标准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940元/生/学期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历年高中生均公用经费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确保有足够的经费用于教学设施的维护和更新，支付暖气费、水费，教学材料的采购，以及教学方法的创新，从而提高教育教学的整体质量。通过均等化的经费投入，使所有学生无论家庭背景如何，都能享受到相同水平的教育资源和服务，实现教育机会的公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支付暖气费、水费。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高级中学历年学生人数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资金按期拨付率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家庭经济困难学生国家助学金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对符合条件的贫困学生实施国家助学金政策，每学期计划资助1072贫困学生，助力国家扶贫惠民政策，减轻贫困学生家庭经济负担，推进教育公平，保证每一个孩子都有上学的权利，不让一名学生因家庭贫困而辍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地方财政承担资金12.86万元，分两学期进行资助，平均资助标准每生每学期60元，2024年普通高中国家助学金每学期资助学生1071人，覆盖所有在校贫困学生，使高中阶段教育各项国家资助按规定落到实处，满足家庭经济困难学生基本生活需要。</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享受国家助学金人数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复核资助条件的学生已全部享受资助，享受资助人数以实际在校生为准，2个学期资助人数的平均值比预算少1人。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助学金发放次数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建档立卡贫困学生受助比例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平均资助标准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60元/生/学期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上级资金上级到位超出预算，在此基础上地方资金未使用完全，国家助学金政策有效减轻了贫困学生的家庭经济负担，体现了教育公平，保障了学生上学的权利，贫困学生及家庭对国家资助政策满意度提升。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96.39分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特克斯县高级中学2024年高中生均公用经费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特克斯县高级中学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348.22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348.22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确保有足够的经费用于教学设施的维护和更新，教学材料的采购，以及教学方法的创新，从而提高教育教学的整体质量。通过均等化的经费投入，使所有学生无论家庭背景如何，都能享受到相同水平的教育资源和服务，实现教育机会的公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基本完成了教学设施的维护和更新，教学材料的采购，以及教学方法的创新，从而提高教育教学的整体质量。通过均等化的经费投入，使所有学生无论家庭背景如何，都能享受到相同水平的教育资源和服务，实现教育机会的公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高级中学学生人数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资金按期拨付率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执行人数减少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97.84分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