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b w:val="0"/>
          <w:bCs/>
          <w:kern w:val="0"/>
          <w:sz w:val="44"/>
          <w:szCs w:val="44"/>
        </w:rPr>
      </w:pPr>
    </w:p>
    <w:p>
      <w:pPr>
        <w:spacing w:line="540" w:lineRule="exact"/>
        <w:jc w:val="center"/>
        <w:rPr>
          <w:rFonts w:hint="eastAsia" w:ascii="方正小标宋简体" w:hAnsi="方正小标宋简体" w:eastAsia="方正小标宋简体" w:cs="方正小标宋简体"/>
          <w:b w:val="0"/>
          <w:bCs/>
          <w:kern w:val="0"/>
          <w:sz w:val="44"/>
          <w:szCs w:val="44"/>
        </w:rPr>
      </w:pPr>
      <w:r>
        <w:rPr>
          <w:rFonts w:hint="eastAsia" w:ascii="方正小标宋简体" w:hAnsi="方正小标宋简体" w:eastAsia="方正小标宋简体" w:cs="方正小标宋简体"/>
          <w:b w:val="0"/>
          <w:bCs/>
          <w:kern w:val="0"/>
          <w:sz w:val="44"/>
          <w:szCs w:val="44"/>
          <w:lang w:val="en-US" w:eastAsia="zh-CN"/>
        </w:rPr>
        <w:t>2024年单位资金收入（事业收入）</w:t>
      </w:r>
      <w:r>
        <w:rPr>
          <w:rFonts w:hint="eastAsia" w:ascii="方正小标宋简体" w:hAnsi="方正小标宋简体" w:eastAsia="方正小标宋简体" w:cs="方正小标宋简体"/>
          <w:b w:val="0"/>
          <w:bCs/>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2"/>
        <w:jc w:val="both"/>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2024年单位资金收入（事业收入）</w:t>
      </w:r>
      <w:r>
        <w:rPr>
          <w:rFonts w:hint="default" w:eastAsia="仿宋_GB2312" w:cs="Times New Roman"/>
          <w:kern w:val="0"/>
          <w:sz w:val="32"/>
          <w:szCs w:val="32"/>
          <w:lang w:val="en-US" w:eastAsia="zh-CN"/>
        </w:rPr>
        <w:t>项目</w:t>
      </w:r>
    </w:p>
    <w:p>
      <w:pPr>
        <w:spacing w:line="700" w:lineRule="exact"/>
        <w:ind w:firstLine="640" w:firstLineChars="2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特克斯县阔克铁热克乡卫生院</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特克斯县卫生健康委员会</w:t>
      </w:r>
    </w:p>
    <w:p>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范晓虎</w:t>
      </w:r>
    </w:p>
    <w:p>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7"/>
          <w:rFonts w:hint="default" w:ascii="Times New Roman" w:hAnsi="Times New Roman" w:eastAsia="黑体" w:cs="Times New Roman"/>
          <w:b w:val="0"/>
          <w:spacing w:val="-4"/>
          <w:sz w:val="32"/>
          <w:szCs w:val="32"/>
        </w:rPr>
      </w:pPr>
    </w:p>
    <w:p>
      <w:pPr>
        <w:spacing w:line="540" w:lineRule="exact"/>
        <w:rPr>
          <w:rStyle w:val="17"/>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为人民健康医疗与预防保</w:t>
      </w:r>
      <w:bookmarkStart w:id="3" w:name="_GoBack"/>
      <w:bookmarkEnd w:id="3"/>
      <w:r>
        <w:rPr>
          <w:rFonts w:hint="eastAsia" w:ascii="Times New Roman" w:hAnsi="Times New Roman" w:eastAsia="仿宋_GB2312" w:cs="Times New Roman"/>
          <w:sz w:val="32"/>
          <w:szCs w:val="32"/>
          <w:highlight w:val="none"/>
          <w:lang w:val="en-US" w:eastAsia="zh-CN"/>
        </w:rPr>
        <w:t>健服务，常见病多发病的治疗和护理；预防保健。保证基层医疗机构平稳运行和发展，调动基层医疗机构和医务人员的积极性。提升服务能力，促进其可持续发展。提供以预防保健、基本医疗、公共卫生、健康教育、JHSY、全民健康体检、康复等为主要内容的综合性服务。建立了稳定长效的多渠道补偿机制，确保基层医疗卫生机构有足够的资金维持日常运转，提升服务能力，促进其可持续发展。</w:t>
      </w:r>
    </w:p>
    <w:p>
      <w:pPr>
        <w:pStyle w:val="1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pPr>
        <w:spacing w:line="560" w:lineRule="exact"/>
        <w:ind w:firstLine="640" w:firstLineChars="20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其他资金收入</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用于开展医疗服务及其他活动中发生的编外人员人员工资、社会保障费、卫生材料费、维修维护费、办公费、水电暖、交通费等费用。</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highlight w:val="none"/>
        </w:rPr>
        <w:t>阶段性目标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指标完成值19.85万元/年,完成率16.54%</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指标完成35.67万元/年,完成率44.31%</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pPr>
        <w:shd w:val="clea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指标完成值48.85万元/年,完成率40.71%</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指标完成值93.35万元/年,完成率115.96%</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spacing w:line="540" w:lineRule="exact"/>
        <w:jc w:val="left"/>
        <w:rPr>
          <w:rFonts w:hint="default" w:ascii="Times New Roman" w:hAnsi="Times New Roman" w:eastAsia="仿宋_GB2312" w:cs="Times New Roman"/>
          <w:b w:val="0"/>
          <w:bCs w:val="0"/>
          <w:highlight w:val="none"/>
          <w:lang w:val="en-US"/>
        </w:rPr>
      </w:pPr>
      <w:r>
        <w:rPr>
          <w:rFonts w:hint="eastAsia" w:eastAsia="仿宋_GB2312" w:cs="Times New Roman"/>
          <w:b w:val="0"/>
          <w:bCs w:val="0"/>
          <w:kern w:val="28"/>
          <w:sz w:val="32"/>
          <w:szCs w:val="32"/>
          <w:highlight w:val="none"/>
          <w:lang w:val="en-US" w:eastAsia="zh-CN" w:bidi="ar-SA"/>
        </w:rPr>
        <w:t xml:space="preserve">   </w:t>
      </w:r>
      <w:r>
        <w:rPr>
          <w:rFonts w:hint="default" w:ascii="Times New Roman" w:hAnsi="Times New Roman" w:eastAsia="仿宋_GB2312" w:cs="Times New Roman"/>
          <w:b w:val="0"/>
          <w:bCs w:val="0"/>
          <w:kern w:val="28"/>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kern w:val="28"/>
          <w:sz w:val="32"/>
          <w:szCs w:val="32"/>
          <w:highlight w:val="none"/>
          <w:lang w:val="en-US" w:eastAsia="zh-CN" w:bidi="ar-SA"/>
        </w:rPr>
        <w:t>项目及其预算执行情况。该项目由</w:t>
      </w:r>
      <w:r>
        <w:rPr>
          <w:rFonts w:hint="eastAsia" w:ascii="Times New Roman" w:hAnsi="Times New Roman" w:eastAsia="仿宋_GB2312" w:cs="Times New Roman"/>
          <w:b w:val="0"/>
          <w:bCs w:val="0"/>
          <w:kern w:val="28"/>
          <w:sz w:val="32"/>
          <w:szCs w:val="32"/>
          <w:highlight w:val="none"/>
          <w:lang w:val="en-US" w:eastAsia="zh-CN" w:bidi="ar-SA"/>
        </w:rPr>
        <w:t>特克斯县阔克苏</w:t>
      </w:r>
      <w:r>
        <w:rPr>
          <w:rFonts w:hint="eastAsia" w:eastAsia="仿宋_GB2312" w:cs="Times New Roman"/>
          <w:b w:val="0"/>
          <w:bCs w:val="0"/>
          <w:kern w:val="28"/>
          <w:sz w:val="32"/>
          <w:szCs w:val="32"/>
          <w:highlight w:val="none"/>
          <w:lang w:val="en-US" w:eastAsia="zh-CN" w:bidi="ar-SA"/>
        </w:rPr>
        <w:t>铁热克</w:t>
      </w:r>
      <w:r>
        <w:rPr>
          <w:rFonts w:hint="eastAsia" w:ascii="Times New Roman" w:hAnsi="Times New Roman" w:eastAsia="仿宋_GB2312" w:cs="Times New Roman"/>
          <w:b w:val="0"/>
          <w:bCs w:val="0"/>
          <w:kern w:val="28"/>
          <w:sz w:val="32"/>
          <w:szCs w:val="32"/>
          <w:highlight w:val="none"/>
          <w:lang w:val="en-US" w:eastAsia="zh-CN" w:bidi="ar-SA"/>
        </w:rPr>
        <w:t>乡卫生院</w:t>
      </w:r>
      <w:r>
        <w:rPr>
          <w:rFonts w:hint="default" w:ascii="Times New Roman" w:hAnsi="Times New Roman" w:eastAsia="仿宋_GB2312" w:cs="Times New Roman"/>
          <w:b w:val="0"/>
          <w:bCs w:val="0"/>
          <w:kern w:val="28"/>
          <w:sz w:val="32"/>
          <w:szCs w:val="32"/>
          <w:highlight w:val="none"/>
          <w:lang w:val="en-US" w:eastAsia="zh-CN" w:bidi="ar-SA"/>
        </w:rPr>
        <w:t>负责实施，</w:t>
      </w:r>
      <w:r>
        <w:rPr>
          <w:rFonts w:hint="eastAsia" w:eastAsia="仿宋_GB2312" w:cs="Times New Roman"/>
          <w:b w:val="0"/>
          <w:bCs w:val="0"/>
          <w:kern w:val="28"/>
          <w:sz w:val="32"/>
          <w:szCs w:val="32"/>
          <w:highlight w:val="none"/>
          <w:lang w:val="en-US" w:eastAsia="zh-CN" w:bidi="ar-SA"/>
        </w:rPr>
        <w:t>在旨</w:t>
      </w:r>
      <w:r>
        <w:rPr>
          <w:rFonts w:hint="eastAsia" w:ascii="Times New Roman" w:hAnsi="Times New Roman" w:eastAsia="仿宋_GB2312" w:cs="Times New Roman"/>
          <w:b w:val="0"/>
          <w:bCs w:val="0"/>
          <w:kern w:val="28"/>
          <w:sz w:val="32"/>
          <w:szCs w:val="32"/>
          <w:highlight w:val="none"/>
          <w:lang w:val="en-US" w:eastAsia="zh-CN" w:bidi="ar-SA"/>
        </w:rPr>
        <w:t>提高编外人员工作积极性：有效提高；提高职工日常工作效率和质量：</w:t>
      </w:r>
      <w:r>
        <w:rPr>
          <w:rFonts w:hint="eastAsia" w:eastAsia="仿宋_GB2312" w:cs="Times New Roman"/>
          <w:b w:val="0"/>
          <w:bCs w:val="0"/>
          <w:kern w:val="28"/>
          <w:sz w:val="32"/>
          <w:szCs w:val="32"/>
          <w:highlight w:val="none"/>
          <w:lang w:val="en-US" w:eastAsia="zh-CN" w:bidi="ar-SA"/>
        </w:rPr>
        <w:t>项目预算涵盖从起始日期2024年1月1日至2024年12月31日全部资金投入与支出，涉及资金总额为200.5万元。</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基本公卫资金项目对社会有着深远的积极影响，是保障居民健康，促进社会和谐发展的重要举措，推动健康观念转变，增强社会稳定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r>
        <w:rPr>
          <w:rFonts w:hint="eastAsia" w:eastAsia="仿宋_GB2312" w:cs="Times New Roman"/>
          <w:color w:val="000000"/>
          <w:spacing w:val="17"/>
          <w:sz w:val="32"/>
          <w:szCs w:val="32"/>
          <w:highlight w:val="none"/>
          <w:lang w:val="en-US" w:eastAsia="zh-CN"/>
        </w:rPr>
        <w:t>选择因素分析法因其全面性、灵活性以及能够提供定量依据的特点。</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2"/>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sz w:val="32"/>
          <w:szCs w:val="32"/>
          <w:highlight w:val="none"/>
          <w:lang w:val="en-US" w:eastAsia="zh-CN"/>
        </w:rPr>
        <w:t>2024年单位资金收入（事业收入）</w:t>
      </w:r>
      <w:r>
        <w:rPr>
          <w:rFonts w:hint="default" w:ascii="Times New Roman" w:hAnsi="Times New Roman" w:eastAsia="仿宋_GB2312" w:cs="Times New Roman"/>
          <w:sz w:val="32"/>
          <w:szCs w:val="32"/>
          <w:highlight w:val="none"/>
          <w:lang w:val="en-US" w:eastAsia="zh-CN"/>
        </w:rPr>
        <w:t>项目</w:t>
      </w:r>
      <w:r>
        <w:rPr>
          <w:rFonts w:hint="eastAsia"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ascii="Times New Roman" w:hAnsi="Times New Roman" w:eastAsia="仿宋_GB2312" w:cs="Times New Roman"/>
          <w:sz w:val="32"/>
          <w:szCs w:val="32"/>
          <w:highlight w:val="none"/>
          <w:lang w:val="en-US" w:eastAsia="zh-CN"/>
        </w:rPr>
        <w:t>同时，项目也在</w:t>
      </w:r>
      <w:r>
        <w:rPr>
          <w:rFonts w:hint="eastAsia" w:ascii="Times New Roman" w:hAnsi="Times New Roman" w:eastAsia="仿宋_GB2312" w:cs="Times New Roman"/>
          <w:sz w:val="32"/>
          <w:szCs w:val="32"/>
          <w:highlight w:val="none"/>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Times New Roman" w:hAnsi="Times New Roman" w:eastAsia="仿宋_GB2312" w:cs="Times New Roman"/>
          <w:sz w:val="32"/>
          <w:szCs w:val="32"/>
          <w:highlight w:val="none"/>
        </w:rPr>
        <w:t>单位职工满意度：</w:t>
      </w:r>
      <w:r>
        <w:rPr>
          <w:rFonts w:hint="eastAsia" w:ascii="Times New Roman" w:hAnsi="Times New Roman" w:eastAsia="仿宋_GB2312" w:cs="Times New Roman"/>
          <w:sz w:val="32"/>
          <w:szCs w:val="32"/>
          <w:highlight w:val="none"/>
          <w:lang w:eastAsia="zh-CN"/>
        </w:rPr>
        <w:t>满意度达到</w:t>
      </w:r>
      <w:r>
        <w:rPr>
          <w:rFonts w:hint="eastAsia" w:ascii="Times New Roman" w:hAnsi="Times New Roman"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 w:firstLineChars="1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w:t>
      </w:r>
      <w:r>
        <w:rPr>
          <w:rFonts w:hint="eastAsia" w:eastAsia="仿宋_GB2312" w:cs="Times New Roman"/>
          <w:sz w:val="32"/>
          <w:szCs w:val="32"/>
          <w:highlight w:val="none"/>
          <w:lang w:val="en-US" w:eastAsia="zh-CN"/>
        </w:rPr>
        <w:t>阔克苏乡卫生院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2024年单位资金收入（事业收入）</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评价结论</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其他</w:t>
      </w:r>
      <w:r>
        <w:rPr>
          <w:rFonts w:hint="default" w:ascii="Times New Roman" w:hAnsi="Times New Roman" w:eastAsia="仿宋_GB2312" w:cs="Times New Roman"/>
          <w:sz w:val="32"/>
          <w:szCs w:val="32"/>
          <w:highlight w:val="none"/>
          <w:lang w:val="en-US" w:eastAsia="zh-CN"/>
        </w:rPr>
        <w:t>资金及时</w:t>
      </w:r>
      <w:r>
        <w:rPr>
          <w:rFonts w:hint="eastAsia" w:eastAsia="仿宋_GB2312" w:cs="Times New Roman"/>
          <w:sz w:val="32"/>
          <w:szCs w:val="32"/>
          <w:highlight w:val="none"/>
          <w:lang w:val="en-US" w:eastAsia="zh-CN"/>
        </w:rPr>
        <w:t>拨付</w:t>
      </w:r>
      <w:r>
        <w:rPr>
          <w:rFonts w:hint="default" w:ascii="Times New Roman" w:hAnsi="Times New Roman" w:eastAsia="仿宋_GB2312" w:cs="Times New Roman"/>
          <w:sz w:val="32"/>
          <w:szCs w:val="32"/>
          <w:highlight w:val="none"/>
          <w:lang w:val="en-US" w:eastAsia="zh-CN"/>
        </w:rPr>
        <w:t>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200.5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4"/>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23</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23</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120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80.5</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80.5</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4"/>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shd w:val="clear"/>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pPr>
        <w:numPr>
          <w:ilvl w:val="0"/>
          <w:numId w:val="5"/>
        </w:numPr>
        <w:shd w:val="clear"/>
        <w:spacing w:line="600" w:lineRule="exact"/>
        <w:ind w:left="0" w:leftChars="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满意度指标</w:t>
      </w:r>
    </w:p>
    <w:p>
      <w:pPr>
        <w:numPr>
          <w:ilvl w:val="0"/>
          <w:numId w:val="0"/>
        </w:numPr>
        <w:shd w:val="clear"/>
        <w:spacing w:line="600" w:lineRule="exact"/>
        <w:ind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hd w:val="clear"/>
        <w:spacing w:line="600" w:lineRule="exact"/>
        <w:ind w:firstLine="640" w:firstLineChars="200"/>
        <w:outlineLvl w:val="0"/>
        <w:rPr>
          <w:rFonts w:hint="eastAsia" w:eastAsia="黑体" w:cs="Times New Roman"/>
          <w:sz w:val="32"/>
          <w:szCs w:val="32"/>
          <w:lang w:val="en-US" w:eastAsia="zh-CN"/>
        </w:rPr>
      </w:pPr>
      <w:r>
        <w:rPr>
          <w:rFonts w:hint="eastAsia" w:ascii="Times New Roman" w:hAnsi="Times New Roman" w:eastAsia="仿宋_GB2312" w:cs="Times New Roman"/>
          <w:sz w:val="32"/>
          <w:szCs w:val="32"/>
          <w:lang w:val="en-US" w:eastAsia="zh-CN"/>
        </w:rPr>
        <w:t>2024年单位自有资金收入</w:t>
      </w:r>
      <w:r>
        <w:rPr>
          <w:rFonts w:hint="default" w:ascii="Times New Roman" w:hAnsi="Times New Roman" w:eastAsia="仿宋_GB2312" w:cs="Times New Roman"/>
          <w:sz w:val="32"/>
          <w:szCs w:val="32"/>
          <w:lang w:val="en-US" w:eastAsia="zh-CN"/>
        </w:rPr>
        <w:t>项目年初预算</w:t>
      </w:r>
      <w:r>
        <w:rPr>
          <w:rFonts w:hint="eastAsia" w:eastAsia="仿宋_GB2312" w:cs="Times New Roman"/>
          <w:sz w:val="32"/>
          <w:szCs w:val="32"/>
          <w:lang w:val="en-US" w:eastAsia="zh-CN"/>
        </w:rPr>
        <w:t>200.5</w:t>
      </w:r>
      <w:r>
        <w:rPr>
          <w:rFonts w:hint="default" w:ascii="Times New Roman" w:hAnsi="Times New Roman" w:eastAsia="仿宋_GB2312" w:cs="Times New Roman"/>
          <w:sz w:val="32"/>
          <w:szCs w:val="32"/>
          <w:lang w:val="en-US" w:eastAsia="zh-CN"/>
        </w:rPr>
        <w:t>万元，全年预算</w:t>
      </w:r>
      <w:r>
        <w:rPr>
          <w:rFonts w:hint="eastAsia" w:eastAsia="仿宋_GB2312" w:cs="Times New Roman"/>
          <w:sz w:val="32"/>
          <w:szCs w:val="32"/>
          <w:lang w:val="en-US" w:eastAsia="zh-CN"/>
        </w:rPr>
        <w:t>200.5</w:t>
      </w:r>
      <w:r>
        <w:rPr>
          <w:rFonts w:hint="default" w:ascii="Times New Roman" w:hAnsi="Times New Roman" w:eastAsia="仿宋_GB2312" w:cs="Times New Roman"/>
          <w:sz w:val="32"/>
          <w:szCs w:val="32"/>
          <w:lang w:val="en-US" w:eastAsia="zh-CN"/>
        </w:rPr>
        <w:t>万元，实际支出</w:t>
      </w:r>
      <w:r>
        <w:rPr>
          <w:rFonts w:hint="eastAsia" w:eastAsia="仿宋_GB2312" w:cs="Times New Roman"/>
          <w:sz w:val="32"/>
          <w:szCs w:val="32"/>
          <w:lang w:val="en-US" w:eastAsia="zh-CN"/>
        </w:rPr>
        <w:t>200.5</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，无偏差。</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2"/>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Hans"/>
        </w:rPr>
        <w:t>本项目无其他需说明的问题。</w:t>
      </w:r>
    </w:p>
    <w:p>
      <w:pPr>
        <w:pStyle w:val="2"/>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ascii="仿宋_GB2312" w:hAnsi="仿宋_GB2312" w:eastAsia="仿宋_GB2312" w:cs="仿宋_GB2312"/>
          <w:b/>
          <w:bCs/>
          <w:kern w:val="0"/>
          <w:sz w:val="28"/>
          <w:szCs w:val="40"/>
          <w:lang w:val="en-US" w:eastAsia="zh-CN" w:bidi="ar-SA"/>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kern w:val="0"/>
          <w:sz w:val="28"/>
          <w:szCs w:val="40"/>
          <w:highlight w:val="none"/>
          <w:lang w:val="en-US" w:eastAsia="zh-CN" w:bidi="ar-SA"/>
        </w:rPr>
        <w:t>2024年单位自由资金收入资金</w:t>
      </w:r>
      <w:r>
        <w:rPr>
          <w:rFonts w:hint="default" w:ascii="仿宋_GB2312" w:hAnsi="仿宋_GB2312" w:eastAsia="仿宋_GB2312" w:cs="仿宋_GB2312"/>
          <w:b/>
          <w:bCs/>
          <w:kern w:val="0"/>
          <w:sz w:val="28"/>
          <w:szCs w:val="40"/>
          <w:highlight w:val="none"/>
          <w:lang w:val="en-US" w:eastAsia="zh-CN" w:bidi="ar-SA"/>
        </w:rPr>
        <w:t>项目</w:t>
      </w:r>
      <w:r>
        <w:rPr>
          <w:rFonts w:hint="eastAsia" w:ascii="仿宋_GB2312" w:hAnsi="仿宋_GB2312" w:eastAsia="仿宋_GB2312" w:cs="仿宋_GB2312"/>
          <w:b/>
          <w:bCs/>
          <w:kern w:val="0"/>
          <w:sz w:val="28"/>
          <w:szCs w:val="40"/>
          <w:highlight w:val="none"/>
          <w:lang w:val="en-US" w:eastAsia="zh-CN" w:bidi="ar-SA"/>
        </w:rPr>
        <w:t>项</w:t>
      </w:r>
      <w:r>
        <w:rPr>
          <w:rFonts w:hint="eastAsia" w:ascii="仿宋_GB2312" w:hAnsi="仿宋_GB2312" w:eastAsia="仿宋_GB2312" w:cs="仿宋_GB2312"/>
          <w:b/>
          <w:bCs/>
          <w:sz w:val="28"/>
          <w:szCs w:val="40"/>
          <w:highlight w:val="none"/>
        </w:rPr>
        <w:t>目绩效评价指标体系及综合</w:t>
      </w:r>
      <w:r>
        <w:rPr>
          <w:rFonts w:hint="eastAsia" w:ascii="仿宋_GB2312" w:hAnsi="仿宋_GB2312" w:eastAsia="仿宋_GB2312" w:cs="仿宋_GB2312"/>
          <w:b/>
          <w:bCs/>
          <w:sz w:val="28"/>
          <w:szCs w:val="40"/>
        </w:rPr>
        <w:t>评分表</w:t>
      </w:r>
      <w:bookmarkEnd w:id="1"/>
      <w:bookmarkEnd w:id="2"/>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bidi w:val="0"/>
              <w:jc w:val="center"/>
              <w:rPr>
                <w:rFonts w:hint="default" w:ascii="Times New Roman" w:hAnsi="Times New Roman" w:eastAsia="宋体" w:cs="Times New Roman"/>
                <w:kern w:val="2"/>
                <w:sz w:val="21"/>
                <w:szCs w:val="24"/>
                <w:highlight w:val="none"/>
                <w:lang w:val="en-US" w:eastAsia="zh-CN" w:bidi="ar-SA"/>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spacing w:line="600" w:lineRule="exact"/>
        <w:rPr>
          <w:rFonts w:hint="eastAsia"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2024年单位资金收入（事业收入）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特克斯县阔克</w:t>
            </w:r>
            <w:r>
              <w:rPr>
                <w:rFonts w:hint="eastAsia" w:ascii="仿宋_GB2312" w:hAnsi="仿宋_GB2312" w:eastAsia="仿宋_GB2312" w:cs="仿宋_GB2312"/>
                <w:i w:val="0"/>
                <w:iCs w:val="0"/>
                <w:color w:val="000000"/>
                <w:sz w:val="18"/>
                <w:szCs w:val="18"/>
                <w:u w:val="none"/>
                <w:lang w:val="en-US" w:eastAsia="zh-CN"/>
              </w:rPr>
              <w:t>铁热克</w:t>
            </w:r>
            <w:r>
              <w:rPr>
                <w:rFonts w:hint="eastAsia" w:ascii="仿宋_GB2312" w:hAnsi="仿宋_GB2312" w:eastAsia="仿宋_GB2312" w:cs="仿宋_GB2312"/>
                <w:i w:val="0"/>
                <w:iCs w:val="0"/>
                <w:color w:val="000000"/>
                <w:sz w:val="18"/>
                <w:szCs w:val="18"/>
                <w:u w:val="none"/>
              </w:rPr>
              <w:t>乡卫生院</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特克斯县阔克</w:t>
            </w:r>
            <w:r>
              <w:rPr>
                <w:rFonts w:hint="eastAsia" w:ascii="仿宋_GB2312" w:hAnsi="仿宋_GB2312" w:eastAsia="仿宋_GB2312" w:cs="仿宋_GB2312"/>
                <w:i w:val="0"/>
                <w:iCs w:val="0"/>
                <w:color w:val="000000"/>
                <w:sz w:val="18"/>
                <w:szCs w:val="18"/>
                <w:u w:val="none"/>
                <w:lang w:val="en-US" w:eastAsia="zh-CN"/>
              </w:rPr>
              <w:t>铁热克</w:t>
            </w:r>
            <w:r>
              <w:rPr>
                <w:rFonts w:hint="eastAsia" w:ascii="仿宋_GB2312" w:hAnsi="仿宋_GB2312" w:eastAsia="仿宋_GB2312" w:cs="仿宋_GB2312"/>
                <w:i w:val="0"/>
                <w:iCs w:val="0"/>
                <w:color w:val="000000"/>
                <w:sz w:val="18"/>
                <w:szCs w:val="18"/>
                <w:u w:val="none"/>
              </w:rPr>
              <w:t>乡卫生院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200.5</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200.5</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200.5</w:t>
            </w: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200.5</w:t>
            </w: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提供以预防保健、基本医疗、公共卫生、健康教育、全民健康体检、康复等为主要内容的综合性服务。保障部门单位人员发放工资福利支出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保障编外人员人数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w:t>
            </w:r>
            <w:r>
              <w:rPr>
                <w:rFonts w:hint="eastAsia" w:ascii="仿宋_GB2312" w:hAnsi="仿宋_GB2312" w:eastAsia="仿宋_GB2312" w:cs="仿宋_GB2312"/>
                <w:i w:val="0"/>
                <w:iCs w:val="0"/>
                <w:color w:val="000000"/>
                <w:sz w:val="18"/>
                <w:szCs w:val="18"/>
                <w:u w:val="none"/>
                <w:lang w:val="en-US" w:eastAsia="zh-CN"/>
              </w:rPr>
              <w:t>23</w:t>
            </w:r>
            <w:r>
              <w:rPr>
                <w:rFonts w:hint="eastAsia" w:ascii="仿宋_GB2312" w:hAnsi="仿宋_GB2312" w:eastAsia="仿宋_GB2312" w:cs="仿宋_GB2312"/>
                <w:i w:val="0"/>
                <w:iCs w:val="0"/>
                <w:color w:val="000000"/>
                <w:sz w:val="18"/>
                <w:szCs w:val="18"/>
                <w:u w:val="none"/>
              </w:rPr>
              <w:t>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23</w:t>
            </w:r>
            <w:r>
              <w:rPr>
                <w:rFonts w:hint="eastAsia" w:ascii="仿宋_GB2312" w:hAnsi="仿宋_GB2312" w:eastAsia="仿宋_GB2312" w:cs="仿宋_GB2312"/>
                <w:i w:val="0"/>
                <w:iCs w:val="0"/>
                <w:color w:val="000000"/>
                <w:sz w:val="18"/>
                <w:szCs w:val="18"/>
                <w:u w:val="none"/>
              </w:rPr>
              <w:t>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日常工作运转率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w:t>
            </w:r>
            <w:r>
              <w:rPr>
                <w:rFonts w:hint="eastAsia" w:ascii="仿宋_GB2312" w:hAnsi="仿宋_GB2312" w:eastAsia="仿宋_GB2312" w:cs="仿宋_GB2312"/>
                <w:i w:val="0"/>
                <w:iCs w:val="0"/>
                <w:color w:val="000000"/>
                <w:sz w:val="18"/>
                <w:szCs w:val="18"/>
                <w:u w:val="none"/>
              </w:rPr>
              <w:t>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编外人员工资发放及时率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w:t>
            </w:r>
            <w:r>
              <w:rPr>
                <w:rFonts w:hint="eastAsia" w:ascii="仿宋_GB2312" w:hAnsi="仿宋_GB2312" w:eastAsia="仿宋_GB2312" w:cs="仿宋_GB2312"/>
                <w:i w:val="0"/>
                <w:iCs w:val="0"/>
                <w:color w:val="000000"/>
                <w:sz w:val="18"/>
                <w:szCs w:val="18"/>
                <w:u w:val="none"/>
              </w:rPr>
              <w:t>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编外人员工资发放支出标准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w:t>
            </w:r>
            <w:r>
              <w:rPr>
                <w:rFonts w:hint="eastAsia" w:ascii="仿宋_GB2312" w:hAnsi="仿宋_GB2312" w:eastAsia="仿宋_GB2312" w:cs="仿宋_GB2312"/>
                <w:i w:val="0"/>
                <w:iCs w:val="0"/>
                <w:color w:val="000000"/>
                <w:sz w:val="18"/>
                <w:szCs w:val="18"/>
                <w:u w:val="none"/>
                <w:lang w:val="en-US" w:eastAsia="zh-CN"/>
              </w:rPr>
              <w:t>120</w:t>
            </w:r>
            <w:r>
              <w:rPr>
                <w:rFonts w:hint="eastAsia" w:ascii="仿宋_GB2312" w:hAnsi="仿宋_GB2312" w:eastAsia="仿宋_GB2312" w:cs="仿宋_GB2312"/>
                <w:i w:val="0"/>
                <w:iCs w:val="0"/>
                <w:color w:val="000000"/>
                <w:sz w:val="18"/>
                <w:szCs w:val="18"/>
                <w:u w:val="none"/>
              </w:rPr>
              <w:t>万元/年</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120</w:t>
            </w:r>
            <w:r>
              <w:rPr>
                <w:rFonts w:hint="eastAsia" w:ascii="仿宋_GB2312" w:hAnsi="仿宋_GB2312" w:eastAsia="仿宋_GB2312" w:cs="仿宋_GB2312"/>
                <w:i w:val="0"/>
                <w:iCs w:val="0"/>
                <w:color w:val="000000"/>
                <w:sz w:val="18"/>
                <w:szCs w:val="18"/>
                <w:u w:val="none"/>
              </w:rPr>
              <w:t>万元/年</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日常办公运转经费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&lt;=</w:t>
            </w:r>
            <w:r>
              <w:rPr>
                <w:rFonts w:hint="eastAsia" w:ascii="仿宋_GB2312" w:hAnsi="仿宋_GB2312" w:eastAsia="仿宋_GB2312" w:cs="仿宋_GB2312"/>
                <w:i w:val="0"/>
                <w:iCs w:val="0"/>
                <w:color w:val="000000"/>
                <w:sz w:val="18"/>
                <w:szCs w:val="18"/>
                <w:u w:val="none"/>
                <w:lang w:val="en-US" w:eastAsia="zh-CN"/>
              </w:rPr>
              <w:t>80.5</w:t>
            </w:r>
            <w:r>
              <w:rPr>
                <w:rFonts w:hint="eastAsia" w:ascii="仿宋_GB2312" w:hAnsi="仿宋_GB2312" w:eastAsia="仿宋_GB2312" w:cs="仿宋_GB2312"/>
                <w:i w:val="0"/>
                <w:iCs w:val="0"/>
                <w:color w:val="000000"/>
                <w:sz w:val="18"/>
                <w:szCs w:val="18"/>
                <w:u w:val="none"/>
              </w:rPr>
              <w:t>万元/年</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80.5</w:t>
            </w:r>
            <w:r>
              <w:rPr>
                <w:rFonts w:hint="eastAsia" w:ascii="仿宋_GB2312" w:hAnsi="仿宋_GB2312" w:eastAsia="仿宋_GB2312" w:cs="仿宋_GB2312"/>
                <w:i w:val="0"/>
                <w:iCs w:val="0"/>
                <w:color w:val="000000"/>
                <w:sz w:val="18"/>
                <w:szCs w:val="18"/>
                <w:u w:val="none"/>
              </w:rPr>
              <w:t>万元/年</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社会效益指标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提高编外人员工作积极性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按照评判等级赋分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提高职工日常工作效率和质量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按照评判等级赋分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单位职工满意度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&gt;=92%</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满意度赋分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92%</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仿宋_GB2312" w:hAnsi="仿宋_GB2312" w:eastAsia="仿宋_GB2312" w:cs="仿宋_GB2312"/>
                <w:i w:val="0"/>
                <w:iCs w:val="0"/>
                <w:color w:val="000000"/>
                <w:sz w:val="18"/>
                <w:szCs w:val="18"/>
                <w:u w:val="none"/>
                <w:lang w:val="en-US" w:eastAsia="zh-CN"/>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abstractNum w:abstractNumId="5">
    <w:nsid w:val="7E5826EA"/>
    <w:multiLevelType w:val="singleLevel"/>
    <w:tmpl w:val="7E5826EA"/>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NDEzYjE1YTQ1ZGZhYmU4NjhhZjA4ZWM1YmExMTAifQ=="/>
  </w:docVars>
  <w:rsids>
    <w:rsidRoot w:val="FF6C4049"/>
    <w:rsid w:val="006F7242"/>
    <w:rsid w:val="0073775B"/>
    <w:rsid w:val="007B168A"/>
    <w:rsid w:val="008B2CFE"/>
    <w:rsid w:val="00E335FF"/>
    <w:rsid w:val="00F26FF6"/>
    <w:rsid w:val="013A280A"/>
    <w:rsid w:val="0150374F"/>
    <w:rsid w:val="01610122"/>
    <w:rsid w:val="0187403F"/>
    <w:rsid w:val="02246C1A"/>
    <w:rsid w:val="02510197"/>
    <w:rsid w:val="02EF0AC5"/>
    <w:rsid w:val="030F6088"/>
    <w:rsid w:val="03EC461B"/>
    <w:rsid w:val="03F60669"/>
    <w:rsid w:val="05B46DBE"/>
    <w:rsid w:val="07397B77"/>
    <w:rsid w:val="0788465B"/>
    <w:rsid w:val="07FC2953"/>
    <w:rsid w:val="0A7313CB"/>
    <w:rsid w:val="0AD007F3"/>
    <w:rsid w:val="0BDA2FAB"/>
    <w:rsid w:val="0C4979FC"/>
    <w:rsid w:val="0C9D2956"/>
    <w:rsid w:val="0DB8331D"/>
    <w:rsid w:val="0E3C619F"/>
    <w:rsid w:val="0ED84EBC"/>
    <w:rsid w:val="0FDC6702"/>
    <w:rsid w:val="0FDD5E19"/>
    <w:rsid w:val="100F38EC"/>
    <w:rsid w:val="105C6685"/>
    <w:rsid w:val="11170296"/>
    <w:rsid w:val="12C66037"/>
    <w:rsid w:val="12CD1ABC"/>
    <w:rsid w:val="13471461"/>
    <w:rsid w:val="13631AD8"/>
    <w:rsid w:val="13B90F01"/>
    <w:rsid w:val="14005579"/>
    <w:rsid w:val="141A663B"/>
    <w:rsid w:val="142B0848"/>
    <w:rsid w:val="14686AA3"/>
    <w:rsid w:val="14B453C6"/>
    <w:rsid w:val="153876C0"/>
    <w:rsid w:val="155E4C4D"/>
    <w:rsid w:val="181066D2"/>
    <w:rsid w:val="18F97167"/>
    <w:rsid w:val="19F82B8C"/>
    <w:rsid w:val="1AEA2A58"/>
    <w:rsid w:val="1B981705"/>
    <w:rsid w:val="1C671E73"/>
    <w:rsid w:val="1CBF5022"/>
    <w:rsid w:val="1D322C47"/>
    <w:rsid w:val="1DC647C6"/>
    <w:rsid w:val="1F5A6485"/>
    <w:rsid w:val="1F872141"/>
    <w:rsid w:val="2079326F"/>
    <w:rsid w:val="21417858"/>
    <w:rsid w:val="22E70074"/>
    <w:rsid w:val="23616034"/>
    <w:rsid w:val="23696C97"/>
    <w:rsid w:val="24480FA2"/>
    <w:rsid w:val="24A65CC9"/>
    <w:rsid w:val="25227A45"/>
    <w:rsid w:val="26AC3A6A"/>
    <w:rsid w:val="274230F2"/>
    <w:rsid w:val="27561C28"/>
    <w:rsid w:val="276E0FDC"/>
    <w:rsid w:val="287A1946"/>
    <w:rsid w:val="28B20A44"/>
    <w:rsid w:val="28E80784"/>
    <w:rsid w:val="29622E26"/>
    <w:rsid w:val="2A157B78"/>
    <w:rsid w:val="2B9D7E25"/>
    <w:rsid w:val="2C4C1A22"/>
    <w:rsid w:val="2C7C7A3B"/>
    <w:rsid w:val="2D047A30"/>
    <w:rsid w:val="2F364819"/>
    <w:rsid w:val="2F6D0E4E"/>
    <w:rsid w:val="2FD63906"/>
    <w:rsid w:val="311E5F0C"/>
    <w:rsid w:val="31202B71"/>
    <w:rsid w:val="317B30D3"/>
    <w:rsid w:val="31FF56D4"/>
    <w:rsid w:val="329E2177"/>
    <w:rsid w:val="33450FAA"/>
    <w:rsid w:val="34053575"/>
    <w:rsid w:val="34C27499"/>
    <w:rsid w:val="354D4B24"/>
    <w:rsid w:val="363C1751"/>
    <w:rsid w:val="36AB5A98"/>
    <w:rsid w:val="36BD137C"/>
    <w:rsid w:val="37215DAE"/>
    <w:rsid w:val="378E027E"/>
    <w:rsid w:val="38CA0A91"/>
    <w:rsid w:val="38CA40DD"/>
    <w:rsid w:val="391E0F46"/>
    <w:rsid w:val="393F0BCF"/>
    <w:rsid w:val="395F2B56"/>
    <w:rsid w:val="3BBA0580"/>
    <w:rsid w:val="3BECE841"/>
    <w:rsid w:val="3C190E40"/>
    <w:rsid w:val="3CDE204C"/>
    <w:rsid w:val="3D363C36"/>
    <w:rsid w:val="3E2713A2"/>
    <w:rsid w:val="3E9C3F6D"/>
    <w:rsid w:val="3FB82422"/>
    <w:rsid w:val="3FF06666"/>
    <w:rsid w:val="3FF7797D"/>
    <w:rsid w:val="40602DBF"/>
    <w:rsid w:val="40BE641C"/>
    <w:rsid w:val="41806EDA"/>
    <w:rsid w:val="41E00614"/>
    <w:rsid w:val="42291644"/>
    <w:rsid w:val="42417305"/>
    <w:rsid w:val="44CD035F"/>
    <w:rsid w:val="44F70A86"/>
    <w:rsid w:val="4619639D"/>
    <w:rsid w:val="46690BD8"/>
    <w:rsid w:val="480E7019"/>
    <w:rsid w:val="48F01B9A"/>
    <w:rsid w:val="49F70BF1"/>
    <w:rsid w:val="4A436929"/>
    <w:rsid w:val="4A5A7C6A"/>
    <w:rsid w:val="4A7A4BEA"/>
    <w:rsid w:val="4B4340EE"/>
    <w:rsid w:val="4C107D48"/>
    <w:rsid w:val="4C4157E5"/>
    <w:rsid w:val="4C5A027C"/>
    <w:rsid w:val="4E035DB6"/>
    <w:rsid w:val="4E3335A3"/>
    <w:rsid w:val="503855A1"/>
    <w:rsid w:val="503D507A"/>
    <w:rsid w:val="513F5357"/>
    <w:rsid w:val="51E64497"/>
    <w:rsid w:val="51FA74D0"/>
    <w:rsid w:val="52AA4A52"/>
    <w:rsid w:val="53927439"/>
    <w:rsid w:val="548C39A3"/>
    <w:rsid w:val="55240308"/>
    <w:rsid w:val="56D61851"/>
    <w:rsid w:val="582F6B90"/>
    <w:rsid w:val="59943D66"/>
    <w:rsid w:val="59AD10F9"/>
    <w:rsid w:val="59BD44C5"/>
    <w:rsid w:val="59E051FD"/>
    <w:rsid w:val="59E6355E"/>
    <w:rsid w:val="59EF05E3"/>
    <w:rsid w:val="5B821531"/>
    <w:rsid w:val="5BE50F40"/>
    <w:rsid w:val="5BFF6039"/>
    <w:rsid w:val="5C0F1DCA"/>
    <w:rsid w:val="5D76A616"/>
    <w:rsid w:val="5D7F20B9"/>
    <w:rsid w:val="5DAC7D0E"/>
    <w:rsid w:val="5E74216D"/>
    <w:rsid w:val="5EB84053"/>
    <w:rsid w:val="5F8E5E09"/>
    <w:rsid w:val="5F98B5AF"/>
    <w:rsid w:val="5FFE8511"/>
    <w:rsid w:val="5FFEACE2"/>
    <w:rsid w:val="60413203"/>
    <w:rsid w:val="609738F3"/>
    <w:rsid w:val="609D5BF6"/>
    <w:rsid w:val="61073070"/>
    <w:rsid w:val="61B9080E"/>
    <w:rsid w:val="61DF3FED"/>
    <w:rsid w:val="63BD7C36"/>
    <w:rsid w:val="63C80C01"/>
    <w:rsid w:val="642B176B"/>
    <w:rsid w:val="643EE26D"/>
    <w:rsid w:val="656019A0"/>
    <w:rsid w:val="65F242EE"/>
    <w:rsid w:val="666D7E19"/>
    <w:rsid w:val="678A5829"/>
    <w:rsid w:val="68376930"/>
    <w:rsid w:val="68F91E38"/>
    <w:rsid w:val="69907EC9"/>
    <w:rsid w:val="6A8A6E10"/>
    <w:rsid w:val="6B3158B9"/>
    <w:rsid w:val="6B451A73"/>
    <w:rsid w:val="6BA02A3F"/>
    <w:rsid w:val="6BA323BA"/>
    <w:rsid w:val="6BC04E8F"/>
    <w:rsid w:val="6BC95AF1"/>
    <w:rsid w:val="6C1E5A53"/>
    <w:rsid w:val="6E745F1C"/>
    <w:rsid w:val="6F5C41AC"/>
    <w:rsid w:val="6FAF6C78"/>
    <w:rsid w:val="706F162A"/>
    <w:rsid w:val="716167CC"/>
    <w:rsid w:val="718A7AD1"/>
    <w:rsid w:val="72A44BC2"/>
    <w:rsid w:val="7317C656"/>
    <w:rsid w:val="734B0ABC"/>
    <w:rsid w:val="734ED73F"/>
    <w:rsid w:val="73C82B32"/>
    <w:rsid w:val="73F94DAE"/>
    <w:rsid w:val="74220495"/>
    <w:rsid w:val="743511EA"/>
    <w:rsid w:val="745C526A"/>
    <w:rsid w:val="74717A57"/>
    <w:rsid w:val="747D1B6F"/>
    <w:rsid w:val="749E5641"/>
    <w:rsid w:val="74E034F0"/>
    <w:rsid w:val="75073EC6"/>
    <w:rsid w:val="76271066"/>
    <w:rsid w:val="76BE5AB5"/>
    <w:rsid w:val="77BE5075"/>
    <w:rsid w:val="77FD8BE9"/>
    <w:rsid w:val="78000AED"/>
    <w:rsid w:val="79A9BD3F"/>
    <w:rsid w:val="7A050765"/>
    <w:rsid w:val="7A2C6C49"/>
    <w:rsid w:val="7AE33563"/>
    <w:rsid w:val="7AFC0D8F"/>
    <w:rsid w:val="7B776F12"/>
    <w:rsid w:val="7BFFFDD0"/>
    <w:rsid w:val="7C336E5F"/>
    <w:rsid w:val="7C8D4919"/>
    <w:rsid w:val="7D7A5F86"/>
    <w:rsid w:val="7DAC0324"/>
    <w:rsid w:val="7DFE68B0"/>
    <w:rsid w:val="7E4B683A"/>
    <w:rsid w:val="7E5E656D"/>
    <w:rsid w:val="7E8458A8"/>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jc w:val="left"/>
    </w:pPr>
    <w:rPr>
      <w:rFonts w:ascii="宋体" w:hAnsi="宋体" w:cs="宋体"/>
      <w:kern w:val="0"/>
      <w:sz w:val="24"/>
      <w:szCs w:val="24"/>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5"/>
    <w:next w:val="5"/>
    <w:link w:val="24"/>
    <w:qFormat/>
    <w:uiPriority w:val="0"/>
    <w:rPr>
      <w:b/>
      <w:bCs/>
    </w:rPr>
  </w:style>
  <w:style w:type="paragraph" w:styleId="14">
    <w:name w:val="Body Text First Indent"/>
    <w:basedOn w:val="6"/>
    <w:qFormat/>
    <w:uiPriority w:val="0"/>
    <w:pPr>
      <w:spacing w:after="0"/>
      <w:ind w:firstLine="20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12800</Words>
  <Characters>13252</Characters>
  <Lines>58</Lines>
  <Paragraphs>16</Paragraphs>
  <TotalTime>6</TotalTime>
  <ScaleCrop>false</ScaleCrop>
  <LinksUpToDate>false</LinksUpToDate>
  <CharactersWithSpaces>13286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2025-07-21T10:18:16Z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79CD3A59230345CDA03BC8348C59D5A8</vt:lpwstr>
  </property>
  <property fmtid="{D5CDD505-2E9C-101B-9397-08002B2CF9AE}" pid="4" name="KSOTemplateDocerSaveRecord">
    <vt:lpwstr>eyJoZGlkIjoiOGY4ZjllZTc5NjFlZmUyNTcxNjBmMzdkOGZkNDIyZDciLCJ1c2VySWQiOiIxMTQzMDA1NzQ2In0=</vt:lpwstr>
  </property>
</Properties>
</file>