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特克斯县财政局2024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国家、自治区财政、税收、固有资产管理法规、制度和方针政策，结合本县实际，制定具体实施办法,指导全县财政工作;根据国家、自治区财政、预算、税收、财务、会计等方面的法规，制定具体实施办法并监督实施。</w:t>
      </w:r>
    </w:p>
    <w:p>
      <w:pPr>
        <w:spacing w:line="580" w:lineRule="exact"/>
        <w:ind w:firstLine="640"/>
        <w:jc w:val="both"/>
      </w:pPr>
      <w:r>
        <w:rPr>
          <w:rFonts w:ascii="仿宋_GB2312" w:hAnsi="仿宋_GB2312" w:eastAsia="仿宋_GB2312"/>
          <w:sz w:val="32"/>
        </w:rPr>
        <w:t>（二）根据县国民经济和社会发展计划，制定中长期财政收支计划，负责财政收支综合平衡工作。</w:t>
      </w:r>
    </w:p>
    <w:p>
      <w:pPr>
        <w:spacing w:line="580" w:lineRule="exact"/>
        <w:ind w:firstLine="640"/>
        <w:jc w:val="both"/>
      </w:pPr>
      <w:r>
        <w:rPr>
          <w:rFonts w:ascii="仿宋_GB2312" w:hAnsi="仿宋_GB2312" w:eastAsia="仿宋_GB2312"/>
          <w:sz w:val="32"/>
        </w:rPr>
        <w:t>（三）编制县本级预决算，代编全县预决算草案并组织执行，审查、编制、批复部门预算，受县人民政府委托向县人民代表大会报告预算及执行情况，向县人大常委会报告预算和决算动事项。</w:t>
      </w:r>
    </w:p>
    <w:p>
      <w:pPr>
        <w:spacing w:line="580" w:lineRule="exact"/>
        <w:ind w:firstLine="640"/>
        <w:jc w:val="both"/>
      </w:pPr>
      <w:r>
        <w:rPr>
          <w:rFonts w:ascii="仿宋_GB2312" w:hAnsi="仿宋_GB2312" w:eastAsia="仿宋_GB2312"/>
          <w:sz w:val="32"/>
        </w:rPr>
        <w:t>（四）参与全县宏观经济决策和管理，参与基本建设投资、劳动工资、物价、经济贸易、外汇、科技、教育、住房和社会保障制度改革；会同有关部门完善本县社会保障资金财务制度的管理办法;执行社会保障资金财务制度、基本建设财务制度；拟定政府采购办法，负责组织实施并指导、监督、检查全县政府采购工作。</w:t>
      </w:r>
    </w:p>
    <w:p>
      <w:pPr>
        <w:spacing w:line="580" w:lineRule="exact"/>
        <w:ind w:firstLine="640"/>
        <w:jc w:val="both"/>
      </w:pPr>
      <w:r>
        <w:rPr>
          <w:rFonts w:ascii="仿宋_GB2312" w:hAnsi="仿宋_GB2312" w:eastAsia="仿宋_GB2312"/>
          <w:sz w:val="32"/>
        </w:rPr>
        <w:t>（五）构建农村公共财政体系，提升乡镇财政对基层政权的保障能力，管理和监督全县各乡镇财政收入和支出，组织和监督乡镇财政预算执行，代表政府管理、监督资金拨付使用工作。</w:t>
      </w:r>
    </w:p>
    <w:p>
      <w:pPr>
        <w:spacing w:line="580" w:lineRule="exact"/>
        <w:ind w:firstLine="640"/>
        <w:jc w:val="both"/>
      </w:pPr>
      <w:r>
        <w:rPr>
          <w:rFonts w:ascii="仿宋_GB2312" w:hAnsi="仿宋_GB2312" w:eastAsia="仿宋_GB2312"/>
          <w:sz w:val="32"/>
        </w:rPr>
        <w:t>（六）管理和监督全县各项财政收入和支出，组织和监督财政预算执行；代表政府管理、监督地方国库资金的缴拨使用工作;负责预算外资金收支计划的核定及预算外资金财政专户管理工作；会同物价部门审查批准行政事业性收费项目并参与标准的制定。</w:t>
      </w:r>
    </w:p>
    <w:p>
      <w:pPr>
        <w:spacing w:line="580" w:lineRule="exact"/>
        <w:ind w:firstLine="640"/>
        <w:jc w:val="both"/>
      </w:pPr>
      <w:r>
        <w:rPr>
          <w:rFonts w:ascii="仿宋_GB2312" w:hAnsi="仿宋_GB2312" w:eastAsia="仿宋_GB2312"/>
          <w:sz w:val="32"/>
        </w:rPr>
        <w:t>（七）管理县农业、行政、社会保障、文化教育等部门事业性收费项目并参与标准的制定。</w:t>
      </w:r>
    </w:p>
    <w:p>
      <w:pPr>
        <w:spacing w:line="580" w:lineRule="exact"/>
        <w:ind w:firstLine="640"/>
        <w:jc w:val="both"/>
      </w:pPr>
      <w:r>
        <w:rPr>
          <w:rFonts w:ascii="仿宋_GB2312" w:hAnsi="仿宋_GB2312" w:eastAsia="仿宋_GB2312"/>
          <w:sz w:val="32"/>
        </w:rPr>
        <w:t>（八）参与研究经济体制改革和企业改革，提出经济的社会发展意见和建议，配合实施经济体制改革和企业改革的各项措施。</w:t>
      </w:r>
    </w:p>
    <w:p>
      <w:pPr>
        <w:spacing w:line="580" w:lineRule="exact"/>
        <w:ind w:firstLine="640"/>
        <w:jc w:val="both"/>
      </w:pPr>
      <w:r>
        <w:rPr>
          <w:rFonts w:ascii="仿宋_GB2312" w:hAnsi="仿宋_GB2312" w:eastAsia="仿宋_GB2312"/>
          <w:sz w:val="32"/>
        </w:rPr>
        <w:t>（九）管理和指导全县会计工作、加强会计监督，规范会计行为，保障会计资料完整，组织执行《企业会计准则》《事业单位会计准则》和分行业会计制度；组织和管理会计人员的业务培训、考试、考核工作。</w:t>
      </w:r>
    </w:p>
    <w:p>
      <w:pPr>
        <w:spacing w:line="580" w:lineRule="exact"/>
        <w:ind w:firstLine="640"/>
        <w:jc w:val="both"/>
      </w:pPr>
      <w:r>
        <w:rPr>
          <w:rFonts w:ascii="仿宋_GB2312" w:hAnsi="仿宋_GB2312" w:eastAsia="仿宋_GB2312"/>
          <w:sz w:val="32"/>
        </w:rPr>
        <w:t>（十）承办县人民政府交办的其他工作。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特克斯县财政局2024年度，实有人数86人，其中：在职人员56人，增加2人；离休人员0人，增加0人；退休人员30人,增加2人。</w:t>
      </w:r>
    </w:p>
    <w:p>
      <w:pPr>
        <w:spacing w:line="580" w:lineRule="exact"/>
        <w:ind w:firstLine="640"/>
        <w:jc w:val="both"/>
      </w:pPr>
      <w:r>
        <w:rPr>
          <w:rFonts w:ascii="仿宋_GB2312" w:hAnsi="仿宋_GB2312" w:eastAsia="仿宋_GB2312"/>
          <w:sz w:val="32"/>
        </w:rPr>
        <w:t>单位无下属预算单位，下设10个科室，分别是：办公室、预算科、国库科、综合科、文行科、经建科、社保科、农业农村科、债务科、国有资产监督管理办公室。。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2024年度收入总计5,439.10万元，</w:t>
      </w:r>
      <w:r>
        <w:rPr>
          <w:rFonts w:ascii="仿宋_GB2312" w:hAnsi="仿宋_GB2312" w:eastAsia="仿宋_GB2312"/>
          <w:b w:val="0"/>
          <w:sz w:val="32"/>
        </w:rPr>
        <w:t>其中：本年收入合计5,439.10万元，使用非财政拨款结余（含专用结余）0.00万元，年初结转和结余0.00万元。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2024年度支出总计5,439.10万元，</w:t>
      </w:r>
      <w:r>
        <w:rPr>
          <w:rFonts w:ascii="仿宋_GB2312" w:hAnsi="仿宋_GB2312" w:eastAsia="仿宋_GB2312"/>
          <w:b w:val="0"/>
          <w:sz w:val="32"/>
        </w:rPr>
        <w:t>其中：本年支出合计5,439.10万元，结余分配0.00万元，年末结转和结余0.00万元。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4,506.01万元，增长482.91%，主要原因是：本年在职人员增加，相关人员经费增加，增加消化暂付款历史名城与古迹项目支出、国有企业运营补助（消化暂付款）项目支出、消化暂付款其他自然生态保护项目支出，资金较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本年收入5,439.10万元，</w:t>
      </w:r>
      <w:r>
        <w:rPr>
          <w:rFonts w:ascii="仿宋_GB2312" w:hAnsi="仿宋_GB2312" w:eastAsia="仿宋_GB2312"/>
          <w:b w:val="0"/>
          <w:sz w:val="32"/>
        </w:rPr>
        <w:t>其中：财政拨款收入5,427.41万元，占99.79%；上级补助收入0.00万元，占0.00%；事业收入0.00万元，占0.00%；经营收入0.00万元，占0.00%；附属单位上缴收入0.00万元，占0.00%；其他收入11.69万元，占0.21%。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本年支出5,439.10万元，</w:t>
      </w:r>
      <w:r>
        <w:rPr>
          <w:rFonts w:ascii="仿宋_GB2312" w:hAnsi="仿宋_GB2312" w:eastAsia="仿宋_GB2312"/>
          <w:b w:val="0"/>
          <w:sz w:val="32"/>
        </w:rPr>
        <w:t>其中：基本支出878.21万元，占16.15%；项目支出4,560.90万元，占83.85%；上缴上级支出0.00万元，占0.00%；经营支出0.00万元，占0.00%；对附属单位补助支出0.00万元，占0.00%。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2024年度财政拨款收入总计5,427.41万元，</w:t>
      </w:r>
      <w:r>
        <w:rPr>
          <w:rFonts w:ascii="仿宋_GB2312" w:hAnsi="仿宋_GB2312" w:eastAsia="仿宋_GB2312"/>
          <w:b w:val="0"/>
          <w:sz w:val="32"/>
        </w:rPr>
        <w:t>其中：年初财政拨款结转和结余0.00万元，本年财政拨款收入5,427.41万元。</w:t>
      </w:r>
      <w:r>
        <w:rPr>
          <w:rFonts w:ascii="仿宋_GB2312" w:hAnsi="仿宋_GB2312" w:eastAsia="仿宋_GB2312"/>
          <w:b/>
          <w:sz w:val="32"/>
        </w:rPr>
        <w:t>财政拨款支出总计5,427.41万元，</w:t>
      </w:r>
      <w:r>
        <w:rPr>
          <w:rFonts w:ascii="仿宋_GB2312" w:hAnsi="仿宋_GB2312" w:eastAsia="仿宋_GB2312"/>
          <w:b w:val="0"/>
          <w:sz w:val="32"/>
        </w:rPr>
        <w:t>其中：年末财政拨款结转和结余0.00万元，本年财政拨款支出5,427.41万元。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4,509.32万元，增长491.16%，主要原因是：本年在职人员增加，相关人员经费增加，增加消化暂付款历史名城与古迹项目支出、国有企业运营补助（消化暂付款）项目支出、消化暂付款其他自然生态保护项目支出，资金较上年增加。</w:t>
      </w:r>
      <w:r>
        <w:rPr>
          <w:rFonts w:ascii="仿宋_GB2312" w:hAnsi="仿宋_GB2312" w:eastAsia="仿宋_GB2312"/>
          <w:b/>
          <w:sz w:val="32"/>
        </w:rPr>
        <w:t>与年初预算相比，</w:t>
      </w:r>
      <w:r>
        <w:rPr>
          <w:rFonts w:ascii="仿宋_GB2312" w:hAnsi="仿宋_GB2312" w:eastAsia="仿宋_GB2312"/>
          <w:b w:val="0"/>
          <w:sz w:val="32"/>
        </w:rPr>
        <w:t>年初预算数1,555.83万元，决算数5,427.41万元，预决算差异率248.84%，主要原因是：年中追加消化暂付款历史名城与古迹项目支出、国有企业运营补助（消化暂付款）项目支出、消化暂付款其他自然生态保护项目支出，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2024年度一般公共预算财政拨款支出5,427.41万元，</w:t>
      </w:r>
      <w:r>
        <w:rPr>
          <w:rFonts w:ascii="仿宋_GB2312" w:hAnsi="仿宋_GB2312" w:eastAsia="仿宋_GB2312"/>
          <w:b w:val="0"/>
          <w:sz w:val="32"/>
        </w:rPr>
        <w:t>占本年支出合计的99.79%。</w:t>
      </w:r>
      <w:r>
        <w:rPr>
          <w:rFonts w:ascii="仿宋_GB2312" w:hAnsi="仿宋_GB2312" w:eastAsia="仿宋_GB2312"/>
          <w:b/>
          <w:sz w:val="32"/>
        </w:rPr>
        <w:t>与上年相比，</w:t>
      </w:r>
      <w:r>
        <w:rPr>
          <w:rFonts w:ascii="仿宋_GB2312" w:hAnsi="仿宋_GB2312" w:eastAsia="仿宋_GB2312"/>
          <w:b w:val="0"/>
          <w:sz w:val="32"/>
        </w:rPr>
        <w:t>增加4,509.32万元，增长491.16%，主要原因是：本年在职人员增加，相关人员经费增加，增加消化暂付款历史名城与古迹项目支出、国有企业运营补助（消化暂付款）项目支出、消化暂付款其他自然生态保护项目支出，资金较上年增加。</w:t>
      </w:r>
      <w:r>
        <w:rPr>
          <w:rFonts w:ascii="仿宋_GB2312" w:hAnsi="仿宋_GB2312" w:eastAsia="仿宋_GB2312"/>
          <w:b/>
          <w:sz w:val="32"/>
        </w:rPr>
        <w:t>与年初预算相比,</w:t>
      </w:r>
      <w:r>
        <w:rPr>
          <w:rFonts w:ascii="仿宋_GB2312" w:hAnsi="仿宋_GB2312" w:eastAsia="仿宋_GB2312"/>
          <w:b w:val="0"/>
          <w:sz w:val="32"/>
        </w:rPr>
        <w:t>年初预算数1,555.83万元，决算数5,427.41万元，预决算差异率248.84%，主要原因是：年中追加消化暂付款历史名城与古迹项目支出、国有企业运营补助（消化暂付款）项目支出、消化暂付款其他自然生态保护项目支出，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1.一般公共服务支出(类)739.42万元,占13.62%。</w:t>
      </w:r>
    </w:p>
    <w:p>
      <w:pPr>
        <w:spacing w:line="580" w:lineRule="exact"/>
        <w:ind w:firstLine="640"/>
        <w:jc w:val="both"/>
      </w:pPr>
      <w:r>
        <w:rPr>
          <w:rFonts w:ascii="仿宋_GB2312" w:hAnsi="仿宋_GB2312" w:eastAsia="仿宋_GB2312"/>
          <w:b w:val="0"/>
          <w:sz w:val="32"/>
        </w:rPr>
        <w:t>2.文化旅游体育与传媒支出(类)2,905.91万元,占53.54%。</w:t>
      </w:r>
    </w:p>
    <w:p>
      <w:pPr>
        <w:spacing w:line="580" w:lineRule="exact"/>
        <w:ind w:firstLine="640"/>
        <w:jc w:val="both"/>
      </w:pPr>
      <w:r>
        <w:rPr>
          <w:rFonts w:ascii="仿宋_GB2312" w:hAnsi="仿宋_GB2312" w:eastAsia="仿宋_GB2312"/>
          <w:b w:val="0"/>
          <w:sz w:val="32"/>
        </w:rPr>
        <w:t>3.社会保障和就业支出(类)103.29万元,占1.90%。</w:t>
      </w:r>
    </w:p>
    <w:p>
      <w:pPr>
        <w:spacing w:line="580" w:lineRule="exact"/>
        <w:ind w:firstLine="640"/>
        <w:jc w:val="both"/>
      </w:pPr>
      <w:r>
        <w:rPr>
          <w:rFonts w:ascii="仿宋_GB2312" w:hAnsi="仿宋_GB2312" w:eastAsia="仿宋_GB2312"/>
          <w:b w:val="0"/>
          <w:sz w:val="32"/>
        </w:rPr>
        <w:t>4.卫生健康支出(类)36.34万元,占0.67%。</w:t>
      </w:r>
    </w:p>
    <w:p>
      <w:pPr>
        <w:spacing w:line="580" w:lineRule="exact"/>
        <w:ind w:firstLine="640"/>
        <w:jc w:val="both"/>
      </w:pPr>
      <w:r>
        <w:rPr>
          <w:rFonts w:ascii="仿宋_GB2312" w:hAnsi="仿宋_GB2312" w:eastAsia="仿宋_GB2312"/>
          <w:b w:val="0"/>
          <w:sz w:val="32"/>
        </w:rPr>
        <w:t>5.节能环保支出(类)1,563.00万元,占28.80%。</w:t>
      </w:r>
    </w:p>
    <w:p>
      <w:pPr>
        <w:spacing w:line="580" w:lineRule="exact"/>
        <w:ind w:firstLine="640"/>
        <w:jc w:val="both"/>
      </w:pPr>
      <w:r>
        <w:rPr>
          <w:rFonts w:ascii="仿宋_GB2312" w:hAnsi="仿宋_GB2312" w:eastAsia="仿宋_GB2312"/>
          <w:b w:val="0"/>
          <w:sz w:val="32"/>
        </w:rPr>
        <w:t>6.金融支出(类)13.17万元,占0.24%。</w:t>
      </w:r>
    </w:p>
    <w:p>
      <w:pPr>
        <w:spacing w:line="580" w:lineRule="exact"/>
        <w:ind w:firstLine="640"/>
        <w:jc w:val="both"/>
      </w:pPr>
      <w:r>
        <w:rPr>
          <w:rFonts w:ascii="仿宋_GB2312" w:hAnsi="仿宋_GB2312" w:eastAsia="仿宋_GB2312"/>
          <w:b w:val="0"/>
          <w:sz w:val="32"/>
        </w:rPr>
        <w:t>7.住房保障支出(类)66.29万元,占1.22%。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1.一般公共服务支出(类)财政事务(款)行政运行(项):支出决算数为660.59万元，比上年决算增加34.82万元，增长5.56%,主要原因是：本年新增人员、在职人员工资调增，人员经费增加，导致经费较上年有所增加。</w:t>
      </w:r>
    </w:p>
    <w:p>
      <w:pPr>
        <w:spacing w:line="580" w:lineRule="exact"/>
        <w:ind w:firstLine="640"/>
        <w:jc w:val="both"/>
      </w:pPr>
      <w:r>
        <w:rPr>
          <w:rFonts w:ascii="仿宋_GB2312" w:hAnsi="仿宋_GB2312" w:eastAsia="仿宋_GB2312"/>
          <w:b w:val="0"/>
          <w:sz w:val="32"/>
        </w:rPr>
        <w:t>2.一般公共服务支出(类)财政事务(款)信息化建设(项):支出决算数为77.23万元，比上年决算增加40.69万元，增长111.36%,主要原因是：本年度增加财政财税库银税收收入电子缴库横向联网及收入分析系统运维服务费用、预算管理一体化2·0系统代码级运维技术支持服务费用、财政综合办公平台软件服务费用及政府采购信息化服务平台运行服务费用调整，相应的信息化建设支出增加。</w:t>
      </w:r>
    </w:p>
    <w:p>
      <w:pPr>
        <w:spacing w:line="580" w:lineRule="exact"/>
        <w:ind w:firstLine="640"/>
        <w:jc w:val="both"/>
      </w:pPr>
      <w:r>
        <w:rPr>
          <w:rFonts w:ascii="仿宋_GB2312" w:hAnsi="仿宋_GB2312" w:eastAsia="仿宋_GB2312"/>
          <w:b w:val="0"/>
          <w:sz w:val="32"/>
        </w:rPr>
        <w:t>3.一般公共服务支出(类)财政事务(款)财政委托业务支出(项):支出决算数为1.60万元，比上年决算减少67.76万元，下降97.69%,主要原因是：本年度财政项目投资评审费用未拨付，相应的财政委托业务支出减少。</w:t>
      </w:r>
    </w:p>
    <w:p>
      <w:pPr>
        <w:spacing w:line="580" w:lineRule="exact"/>
        <w:ind w:firstLine="640"/>
        <w:jc w:val="both"/>
      </w:pPr>
      <w:r>
        <w:rPr>
          <w:rFonts w:ascii="仿宋_GB2312" w:hAnsi="仿宋_GB2312" w:eastAsia="仿宋_GB2312"/>
          <w:b w:val="0"/>
          <w:sz w:val="32"/>
        </w:rPr>
        <w:t>4.文化旅游体育与传媒支出(类)文物(款)历史名城与古迹(项):支出决算数为2,905.91万元，比上年决算增加2,905.91万元，增长100.00%,主要原因是：本年度增加消化暂付款历史名城与古迹支出。</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87.40万元，比上年决算增加21.37万元，增长32.36%,主要原因是：本年人员增加，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15.03万元，比上年决算减少10.30万元，下降40.66%,主要原因是：本年新增退休人员较上年减少，相应职业年金缴费较上年减少。</w:t>
      </w:r>
    </w:p>
    <w:p>
      <w:pPr>
        <w:spacing w:line="580" w:lineRule="exact"/>
        <w:ind w:firstLine="640"/>
        <w:jc w:val="both"/>
      </w:pPr>
      <w:r>
        <w:rPr>
          <w:rFonts w:ascii="仿宋_GB2312" w:hAnsi="仿宋_GB2312" w:eastAsia="仿宋_GB2312"/>
          <w:b w:val="0"/>
          <w:sz w:val="32"/>
        </w:rPr>
        <w:t>7.社会保障和就业支出(类)抚恤(款)死亡抚恤(项):支出决算数为0.86万元，比上年决算减少0.29万元，下降25.22%,主要原因是：本年度遗属人员1人按政策要求下半年不再享受遗属生活补助，相应死亡抚恤支出较上年减少。</w:t>
      </w:r>
    </w:p>
    <w:p>
      <w:pPr>
        <w:spacing w:line="580" w:lineRule="exact"/>
        <w:ind w:firstLine="640"/>
        <w:jc w:val="both"/>
      </w:pPr>
      <w:r>
        <w:rPr>
          <w:rFonts w:ascii="仿宋_GB2312" w:hAnsi="仿宋_GB2312" w:eastAsia="仿宋_GB2312"/>
          <w:b w:val="0"/>
          <w:sz w:val="32"/>
        </w:rPr>
        <w:t>8.卫生健康支出(类)行政事业单位医疗(款)行政单位医疗(项):支出决算数为35.02万元，比上年决算增加0.37万元，增长1.07%,主要原因是：本年在职人员工资基数调增，医疗缴费基数上涨，相应支出增加。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0.66万元，比上年决算减少0.03万元，下降4.35%,主要原因是：本年度因在职公务员转退休1人，因退休人员医疗保险制度改革，退休人员医疗补助不再由单位缴纳，导致经费较上年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0.66万元，比上年决算减少0.27万元，下降29.03%,主要原因是：本年度因在职转退休2人，医疗保险制度改革，退休人员大额医疗不再由单位缴纳，导致经费较上年减少。</w:t>
      </w:r>
    </w:p>
    <w:p>
      <w:pPr>
        <w:spacing w:line="580" w:lineRule="exact"/>
        <w:ind w:firstLine="640"/>
        <w:jc w:val="both"/>
      </w:pPr>
      <w:r>
        <w:rPr>
          <w:rFonts w:ascii="仿宋_GB2312" w:hAnsi="仿宋_GB2312" w:eastAsia="仿宋_GB2312"/>
          <w:b w:val="0"/>
          <w:sz w:val="32"/>
        </w:rPr>
        <w:t>11.节能环保支出(类)自然生态保护(款)其他自然生态保护支出(项):支出决算数为1,563.00万元，比上年决算增加1,563.00万元，增长100.00%,主要原因是：本年度增加消化暂付款其他自然生态保护支出。</w:t>
      </w:r>
    </w:p>
    <w:p>
      <w:pPr>
        <w:spacing w:line="580" w:lineRule="exact"/>
        <w:ind w:firstLine="640"/>
        <w:jc w:val="both"/>
      </w:pPr>
      <w:r>
        <w:rPr>
          <w:rFonts w:ascii="仿宋_GB2312" w:hAnsi="仿宋_GB2312" w:eastAsia="仿宋_GB2312"/>
          <w:b w:val="0"/>
          <w:sz w:val="32"/>
        </w:rPr>
        <w:t>12.金融支出(类)金融发展支出(款)利息费用补贴支出(项):支出决算数为13.17万元，比上年决算增加13.17万元，增长100.00%,主要原因是：本年度增加小额贴息贷款补助支出。</w:t>
      </w:r>
    </w:p>
    <w:p>
      <w:pPr>
        <w:spacing w:line="580" w:lineRule="exact"/>
        <w:ind w:firstLine="640"/>
        <w:jc w:val="both"/>
      </w:pPr>
      <w:r>
        <w:rPr>
          <w:rFonts w:ascii="仿宋_GB2312" w:hAnsi="仿宋_GB2312" w:eastAsia="仿宋_GB2312"/>
          <w:b w:val="0"/>
          <w:sz w:val="32"/>
        </w:rPr>
        <w:t>13.住房保障支出(类)住房改革支出(款)住房公积金(项):支出决算数为66.29万元，比上年决算增加8.66万元，增长15.03%,主要原因是：本年人员增加，在职人员工资基数调增，公积金缴费基数上涨，相应支出增加。。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2024年度一般公共预算财政拨款基本支出866.51万元，其中：</w:t>
      </w:r>
      <w:r>
        <w:rPr>
          <w:rFonts w:ascii="仿宋_GB2312" w:hAnsi="仿宋_GB2312" w:eastAsia="仿宋_GB2312"/>
          <w:b/>
          <w:sz w:val="32"/>
        </w:rPr>
        <w:t>人员经费852.08万元，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公用经费14.43万元，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2024年度财政拨款“三公”经费支出1.73万元，</w:t>
      </w:r>
      <w:r>
        <w:rPr>
          <w:rFonts w:ascii="仿宋_GB2312" w:hAnsi="仿宋_GB2312" w:eastAsia="仿宋_GB2312"/>
          <w:b w:val="0"/>
          <w:sz w:val="32"/>
        </w:rPr>
        <w:t>比上年减少0.12万元，下降6.49%，主要原因是：严格落实中央八项规定精神，厉行节约，减少公务用车运行维护费。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公务用车购置及运行维护费支出1.73万元，占100.00%，比上年减少0.12万元，下降6.49%，主要原因是：严格落实中央八项规定精神，厉行节约，减少公务用车运行维护费。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1.73万元，其中：公务用车购置费0.00万元，公务用车运行维护费1.73万元。公务用车运行维护费开支内容包括车辆加油费、维修费、保险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1.73万元，决算数1.73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1.73万元，决算数1.73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2024年度特克斯县财政局（行政单位和参照公务员法管理事业单位）机关运行经费支出14.43万元，比上年减少79.40万元，下降84.62%，主要原因是：严格控制公用经费，合理节约办公用品，减少不必要开支。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2024年度政府采购支出总额3.68万元，其中：政府采购货物支出1.20万元、政府采购工程支出0.00万元、政府采购服务支出2.48万元。</w:t>
      </w:r>
    </w:p>
    <w:p>
      <w:pPr>
        <w:spacing w:line="580" w:lineRule="exact"/>
        <w:ind w:firstLine="640"/>
        <w:jc w:val="both"/>
      </w:pPr>
      <w:r>
        <w:rPr>
          <w:rFonts w:ascii="仿宋_GB2312" w:hAnsi="仿宋_GB2312" w:eastAsia="仿宋_GB2312"/>
          <w:b w:val="0"/>
          <w:sz w:val="32"/>
        </w:rPr>
        <w:t>授予中小企业合同金额2.48万元，占政府采购支出总额的67.39%，其中：授予小微企业合同金额1.26万元，占政府采购支出总额的34.24%。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17.68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5,439.10万元，实际执行总额5,439.10万元；预算绩效评价项目6个，全年预算数4,576.91万元，全年执行数4,576.91万元。预算绩效管理取得的成效：2024年度特克斯县财政局严格推进“预算编制有目标、预算执行有监控、预算完成有评价、评价结果有应用”的全过程预算绩效管理新机制，不断将单位预算绩效管理工作向前推进，进一步强化预算支出的责任和效率，促进本单位重视预算支出绩效，提高财政资金使用效益。发现的问题及原因：预算执行存在偏差。对个别项目资金使用方面预算不够细致，出现实际支出数超出了预算申报数或出现项目资金结余数额多的情况，缺乏预算编制的科学性。预算管理在编制和实施中还存在编制不细、预算调整较多、追加预算比重较大等现象。下一步改进措施：一是加强新行政单位会计制度和新预算法学习培训、规范账务处理，加强新《预算法》《行政单位会计制度》 《会计法》《行政单位财务规则》等学习培训,规范部门预算收支核算。二是制定和完善基本支出、项目支出等各项支出标准,严格按项目进度执行预算, 增强预算的约束力和严肃性。三是落实预算执行分析,及时了解预算执行差异,合理调整、纠正预算执行偏差，切实提高部门预算收支管理水平。尽可能地做到决算与预算相衔接。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905.83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905.83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5,439.10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5,439.10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5,414.24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5,414.24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认真贯彻落实党的二十大精神，2024年财政工作将继续紧紧围绕自治区、自治州党委、政府决策部署和县委、政府中心工作，紧密结合工作实际，坚持稳中求进工作总基调，坚持新发展理念，坚持推动高质量发展，加力提效实施积极的财政政策。一是按照“量入为出，突出重点”的预算原则，以“增收、节支、防风险”为工作主线，全力培财源、抓收入，强化财政收入征管、确保财政收入质量统筹用好各类资金。二是继续加强财政预算绩效管理，提高预算绩效意识。形成“谁做事谁花钱、谁花钱谁担责”的制度，将财政资金预算管理绩效纳入机关建设和效能建设的考核范围，提高单位对财政资金使用绩效的重视和开展绩效管理工作的自觉性和主动性。三是继续做好行政事业单位资产清查工作，摸清国有资产家底，保障资产安全，实现资产管理规范化，确保资产发挥效益。四是强化财政监督，进一步强化对预算单位及国有企业财务管理的监督检查，开展会计信息质量检查，加强财务及会计行为的日常监督，确保财经法律法规得到依法贯彻。坚持以政领财、以财辅政，把旗帜鲜明讲政治从外在要求转化为内在主动，深度融入到财政系统全面从严治党、预算收支管理、干部队伍建设等各方面。</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在县委、政府的坚强领导下，财政部门坚持稳中求进工作总基调，加强组织收入，持续做大做强税源“底盘”，强化财政资源统筹，加大闲置资产盘活力度，优化支出结构，集中财力保障“三保”和重点支出，防范化解债务风险，狠抓预算执行管理，不断提升财政管理质效，各项财政工作取得了明显成效。一是强化法治思维，坚持依法理财。严格遵循各项法规政策。坚决遵守预算法及其实施条例、政府采购法、会计法等法律法规，严格落实行政事业单位资产管理、国库集中支付管理、银行账户管理等各项政策制度，依法开展财政工作。主动接受人大、审计监督，建设法治财政。开展财会监督行动，提升财会管理能力。二是积极组织收入，财政稳健运行。压实增收举措，全力以赴组织财政收入，确保各项增收举措落到实处。统筹协调，确保应收尽收。三是落实财政政策，促进经济发展。把握政策导向，积极争取上级资金。四是保基本兜底线，支持改善民生。兜牢“三保”底线，增进民生福祉。坚持“三保”在预算编制及执行中的优先地位。严格落实政府过紧日子要求。不断优化财政支出结构，大力压缩一般性支出，从严控制“三公”经费。支持城乡协调发展，有效推动乡村振兴建设。五是深化财政改革，加强财政监管。坚持深化以绩效为导向的预算管理制度改革，进一步提升财政管理质效。积极推进预算公开工作。有效落实预算管理一体化工作。通过将四本预算资金及单位自有资金全额纳入预算，预算绩效系统和财政一体化2.0系统、政采云系统、“一卡通”系统的有机结合，实现闭环监管，强化财政资金规范管理。持续深化国资国企改革。六是持续强化监管，化解风险隐患。持续做好宣传，强化金融监管。加强惠农惠民补贴资金监管。</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管理监督和规范会计行为单位数量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财政资金预算绩效管理单位数量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开展行政事业单位资产清查个数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政府非税收入完成率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其他收入资金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认真贯彻落实党的二十大精神，2024年财政工作将继续紧紧围绕自治区、自治州党委、政府决策部署和县委、政府中心工作，紧密结合工作实际，坚持稳中求进工作总基调，坚持新发展理念，坚持推动高质量发展，加力提效实施积极的财政政策。政府对企事业单位进行奖励是为了推动经济发展和促进企业创新，把慰问生活困难党员作为一项重要工作来抓，深入了解生活困难党员所思所盼所忧，让党员切实感受到党组织的关怀和温暖，激发大家爱党、爱国、爱职业的情怀，进一步增强党组织凝聚力和战斗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是保障单位正常运转，确保办公设备、设施正常运行，维持单位日常行政工作的有序开展。二是支持业务工作开展，为单位各项业务提供必要的经费支持，包括出差、培训，促进业务工作的顺利进行。三是让老干部、老党员感受到党的关怀。</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保障慰问次数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反映单位正常支付及时性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奖励慰问补助金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单位工作有序开展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保障单位正常运转，维持单位日常行政工作有序开展；为单位各项业务活动提供必要的经费支持。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国有企业注册资本金（消化暂付款）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增强公司的经济实力和信用保障，加强对外承担经济责任和义务的能力，优化国有企业资本结构，增强国有企业融资能力，助力国有企业不断发展壮大。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是增强企业资金实力，通过注入注册资本金，增加企业的自有资金，提高企业的资产规模和资金储备，使国有企业能够更好应对日常经营、投资项目和市场风险。二是优化企业资本结构，降低了企业的资产负债率，改善企业的财务状况，提高企业在金融市场的融资能力和信用评级，增强企业的融资渠道和融资成本优势。三是实现国有资本保值增值，确保国有资本的安全和有效运行，通过企业的发展壮大，提高国有资产的收益水平和价值，保障国有资产在市场竞争中不断增值。</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增强国有企业融资能力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优化国有企业资本结构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货币注资的及时性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第一阶段支付注册资本金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第二阶段支付注册资本金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发挥国有企业资产效益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利用有限的资源满足特克斯县日益增长的物质需求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项目团队与利益相关者之间保持了良好沟通，及时了解他们的需求和意见，并积极相应和解决问题，让利益相关者感受到被重视，从而提高了满意度。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国有企业运营补助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进一步完善国有资本经营预算制度，扩大实施范围，强化功能作用，健全收支管理，提升资金效能，支持国有资本和国有企业做强做优做大，提升企业核心竞争力，建立更加紧密的国有资本经营预算与国有资产报告衔接关系，切实发挥对宏观经济运行、国有经济布局的重要调控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通过实施该项目，确保企业有足够的资金用于支付日常运营费用，包括员工工资社保、公务用车运营维护、办公用品采购等，避免了因资金短缺而导致企业运营中断。</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发放薪酬人数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发放薪酬次数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提升企业核心竞争力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资金拨付的及时性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支付人员工资、社保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车辆维修费用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公司日常运营费用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受益人发挥工作积极性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保障了企业日常业务的开展，环节了企业资金压力。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99.95分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国有粮食购销企业土地变性确权工作（消化暂付款）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按照《关于加快推进伊犁州国有粮食购销企业土地变性确权工作的报告》（伊州粮[2023]7号相关要求，按时按要求完成13宗土地的确权工作，壮大国有企业资产规模，提升国有企业经济效益。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是增加了企业资产，提升企业的资产规模和价值。二是促进企业改革，土地变性确权使国有粮食购销企业改革的重要组成部分，有助于推动企业建立现代企业制度，完善法人治理结构，提升企业的市场竞争力和可持续发展能力。三是通过土地变性确权，企业能够更好地利用土地资源，优化粮食仓储，提高粮食收储、加工、运输等环节的效率和能力。为保障国有粮食安全提供坚实的物质基础和土地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土地变性确权宗数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土地的平方数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壮大资产规模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按时完成土地确权工作的及时性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每平米土地确权需缴纳土地出让金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增加国有企业经济效益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天禾粮油满意度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严格按照预定计划推进土地变性确权工作，在规定时间内完成了各项审批流程、手续办理，使粮食购销企业土地产权得到明确，达到了预期目标。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国有资产盘活相关费用（消化暂付款）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1,755.91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1,755.91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1,755.91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1,755.91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1,755.91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1,755.91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有效盘活存量资产，形成存量资产和新增投资的良性循环，提升基础设施运营管理水平、拓宽社会投资渠道、合理扩大有效投资以及降低政府债务风险、降低企业资产负债水平为，有效解决债权清偿历史遗留问题，依法保护国有资产不受损失。</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提高了资产的使用管理水平，实现资产增值，完善资产管理，支持企业发展，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固定资产盘活数量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壮大国有资产规模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支付相关税费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资产转让费用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增加国有企业资产收入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资产盘活的价值合理、操作流程规范，社会效益较好。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行政事业单位财政网络、信息化运行费用及专项经费（年初本级）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特克斯县财政局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政府采购云平台是通过云计算和大数据技术，实现政府采购交易和管理一体化，以及信息资源共享共用，融入现代信息技术，通过线上线下相结合的方式实现项目采购，促进政府采购更加阳光透明、廉洁高效;2.财政预算管理一体化平台是依托系统化思维整合预算管理全流程，通过建立各级财政统一的业务管理规范，将管理规则嵌入信息系统，全面提高各级预算管理规范化、标准化和自动化水平，实现基础信息收集、部门预算编制、部门预算执行和会计核算等业务全部纳入该系统，使财政预算管理各环节业务数据标准统一，让各部门对各项财政业务数据看的准、用的对，看的安全、用的放心。最终实现财政部与单位主管部门共享共用财务数据，引导部门在预算管理各方面更规范、更高效;3.财政各类网络系统自搭建以来，乘载着全县的财政业务及资金拨付网络服务工作，网络服务涉及到全县县直各预算单位和各乡镇（场），为确保2024年网络正常运转，更好的服务于财政各项业务基础工作，财政网络运行维护不少于2次，有效保障了本县财政业务和财政专网的安全稳定运行，使各部门单位正常开展各项财务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线上线下相结合的方式实现项目采购，促进政府采购更加阳光透明、廉洁高效财政预算管理一体化平台是依托系统化思维整合预算管理全流程，通过建立各级财政统一的业务管理规范，将管理规则嵌入信息系统，全面提高各级预算管理规范化、标准化和自动化水平，实现基础信息收集、部门预算编制、部门预算执行和会计核算等业务全部纳入该系统，使财政预算管理各环节业务数据标准统一，让各部门对各项财政业务数据看的准、用的对，看的安全、用的放心。最终实现财政部与单位主管部门共享共用财务数据，引导部门在预算管理各方面更规范、更高效;财政各类网络系统自搭建以来，乘载着全县的财政业务及资金拨付网络服务工作，网络服务涉及到全县县直各预算单位和各乡镇（场），为确保2023年网络正常运转，更好的服务于财政各项业务基础工作，财政网络运行维护不少于2次，有效保障了本县财政业务和财政专网的安全稳定运行，使各部门单位正常开展各项财务工作;财政各类专用材料的征订，保障了全县行政事业单位的收费需求及财政预算国库支付业务需要，使各收费单位票据得到正常领购，更好的保障了预算管理一体化系统业务有序进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政采云服务平台数量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财政预算管理一体化平台数量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财政网络运行维护次数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系统维护合格率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平台及系统故障修复处理时间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政采云服务平台费用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财政预算管理一体化平台费用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财政网络运行维护费用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保障本县财政业务和财政专网的安全稳定运行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系统正常使用年限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使用人员满意度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在年度使用人员集中时出现运行速度慢、稳定性不足等问题。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98.84分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