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4、完成教育局交办的其他工作。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特克斯县第二中学2024年度，实有人数114人，其中：在职人员74人，增加3人；离休人员0人，增加0人；退休人员40人,增加2人。</w:t>
      </w:r>
    </w:p>
    <w:p>
      <w:pPr>
        <w:spacing w:line="580" w:lineRule="exact"/>
        <w:ind w:firstLine="640"/>
        <w:jc w:val="both"/>
      </w:pPr>
      <w:r>
        <w:rPr>
          <w:rFonts w:ascii="仿宋_GB2312" w:hAnsi="仿宋_GB2312" w:eastAsia="仿宋_GB2312"/>
          <w:sz w:val="32"/>
        </w:rPr>
        <w:t>单位无下属预算单位，下设8个科室，分别是：校办、党建办、德育处、教务处、工会、总务处、办公室、后勤处。。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2024年度收入总计1,813.50万元，</w:t>
      </w:r>
      <w:r>
        <w:rPr>
          <w:rFonts w:ascii="仿宋_GB2312" w:hAnsi="仿宋_GB2312" w:eastAsia="仿宋_GB2312"/>
          <w:b w:val="0"/>
          <w:sz w:val="32"/>
        </w:rPr>
        <w:t>其中：本年收入合计1,813.50万元，使用非财政拨款结余（含专用结余）0.00万元，年初结转和结余0.00万元。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2024年度支出总计1,813.50万元，</w:t>
      </w:r>
      <w:r>
        <w:rPr>
          <w:rFonts w:ascii="仿宋_GB2312" w:hAnsi="仿宋_GB2312" w:eastAsia="仿宋_GB2312"/>
          <w:b w:val="0"/>
          <w:sz w:val="32"/>
        </w:rPr>
        <w:t>其中：本年支出合计1,813.50万元，结余分配0.00万元，年末结转和结余0.00万元。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372.70万元，增长25.87%，主要原因是：一是2024年调整基础绩效奖；二是2024年7月基本工资调增；三是本年人员调入，相关人员经费增加；在职人员正常晋升工资调整，岗位调整工资增加，社保、公积金基数调增，人员经费增加；四是补发2023年年度考核奖；五是其他收入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本年收入1,813.50万元，</w:t>
      </w:r>
      <w:r>
        <w:rPr>
          <w:rFonts w:ascii="仿宋_GB2312" w:hAnsi="仿宋_GB2312" w:eastAsia="仿宋_GB2312"/>
          <w:b w:val="0"/>
          <w:sz w:val="32"/>
        </w:rPr>
        <w:t>其中：财政拨款收入1,756.57万元，占96.86%；上级补助收入0.00万元，占0.00%；事业收入0.00万元，占0.00%；经营收入0.00万元，占0.00%；附属单位上缴收入0.00万元，占0.00%；其他收入56.93万元，占3.14%。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本年支出1,813.50万元，</w:t>
      </w:r>
      <w:r>
        <w:rPr>
          <w:rFonts w:ascii="仿宋_GB2312" w:hAnsi="仿宋_GB2312" w:eastAsia="仿宋_GB2312"/>
          <w:b w:val="0"/>
          <w:sz w:val="32"/>
        </w:rPr>
        <w:t>其中：基本支出1,813.50万元，占100.00%；项目支出0.00万元，占0.00%；上缴上级支出0.00万元，占0.00%；经营支出0.00万元，占0.00%；对附属单位补助支出0.00万元，占0.00%。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2024年度财政拨款收入总计1,756.57万元，</w:t>
      </w:r>
      <w:r>
        <w:rPr>
          <w:rFonts w:ascii="仿宋_GB2312" w:hAnsi="仿宋_GB2312" w:eastAsia="仿宋_GB2312"/>
          <w:b w:val="0"/>
          <w:sz w:val="32"/>
        </w:rPr>
        <w:t>其中：年初财政拨款结转和结余0.00万元，本年财政拨款收入1,756.57万元。</w:t>
      </w:r>
      <w:r>
        <w:rPr>
          <w:rFonts w:ascii="仿宋_GB2312" w:hAnsi="仿宋_GB2312" w:eastAsia="仿宋_GB2312"/>
          <w:b/>
          <w:sz w:val="32"/>
        </w:rPr>
        <w:t>财政拨款支出总计1,756.57万元，</w:t>
      </w:r>
      <w:r>
        <w:rPr>
          <w:rFonts w:ascii="仿宋_GB2312" w:hAnsi="仿宋_GB2312" w:eastAsia="仿宋_GB2312"/>
          <w:b w:val="0"/>
          <w:sz w:val="32"/>
        </w:rPr>
        <w:t>其中：年末财政拨款结转和结余0.00万元，本年财政拨款支出1,756.57万元。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375.41万元，增长27.18%，主要原因是：一是2024年调整基础绩效奖；二是2024年7月基本工资调增；三是本年人员调入，相关人员经费增加；在职人员正常晋升工资调整，岗位调整工资增加，社保、公积金基数调增，人员经费增加；四是补发2023年年度考核奖。</w:t>
      </w:r>
      <w:r>
        <w:rPr>
          <w:rFonts w:ascii="仿宋_GB2312" w:hAnsi="仿宋_GB2312" w:eastAsia="仿宋_GB2312"/>
          <w:b/>
          <w:sz w:val="32"/>
        </w:rPr>
        <w:t>与年初预算相比，</w:t>
      </w:r>
      <w:r>
        <w:rPr>
          <w:rFonts w:ascii="仿宋_GB2312" w:hAnsi="仿宋_GB2312" w:eastAsia="仿宋_GB2312"/>
          <w:b w:val="0"/>
          <w:sz w:val="32"/>
        </w:rPr>
        <w:t>年初预算数1,156.08万元，决算数1,756.57万元，预决算差异率51.94%，主要原因是：本年在职人员增加，年中追加人员经费及人员工资、社保、公积金基数调增部分资金，导致预决算存在差异。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2024年度一般公共预算财政拨款支出1,756.57万元，</w:t>
      </w:r>
      <w:r>
        <w:rPr>
          <w:rFonts w:ascii="仿宋_GB2312" w:hAnsi="仿宋_GB2312" w:eastAsia="仿宋_GB2312"/>
          <w:b w:val="0"/>
          <w:sz w:val="32"/>
        </w:rPr>
        <w:t>占本年支出合计的96.86%。</w:t>
      </w:r>
      <w:r>
        <w:rPr>
          <w:rFonts w:ascii="仿宋_GB2312" w:hAnsi="仿宋_GB2312" w:eastAsia="仿宋_GB2312"/>
          <w:b/>
          <w:sz w:val="32"/>
        </w:rPr>
        <w:t>与上年相比，</w:t>
      </w:r>
      <w:r>
        <w:rPr>
          <w:rFonts w:ascii="仿宋_GB2312" w:hAnsi="仿宋_GB2312" w:eastAsia="仿宋_GB2312"/>
          <w:b w:val="0"/>
          <w:sz w:val="32"/>
        </w:rPr>
        <w:t>增加375.41万元，增长27.18%，主要原因是：一是2024年调整基础绩效奖；二是2024年7月基本工资调增；三是本年人员调入，相关人员经费增加；在职人员正常晋升工资调整，岗位调整工资增加，社保、公积金基数调增，人员经费增加；四是补发2023年年度考核奖。</w:t>
      </w:r>
      <w:r>
        <w:rPr>
          <w:rFonts w:ascii="仿宋_GB2312" w:hAnsi="仿宋_GB2312" w:eastAsia="仿宋_GB2312"/>
          <w:b/>
          <w:sz w:val="32"/>
        </w:rPr>
        <w:t>与年初预算相比,</w:t>
      </w:r>
      <w:r>
        <w:rPr>
          <w:rFonts w:ascii="仿宋_GB2312" w:hAnsi="仿宋_GB2312" w:eastAsia="仿宋_GB2312"/>
          <w:b w:val="0"/>
          <w:sz w:val="32"/>
        </w:rPr>
        <w:t>年初预算数1,156.08万元，决算数1,756.57万元，预决算差异率51.94%，主要原因是：本年在职人员增加，年中追加人员经费及人员工资、社保、公积金基数调增部分资金，导致预决算存在差异。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1.教育支出(类)1,476.72万元,占84.07%。</w:t>
      </w:r>
    </w:p>
    <w:p>
      <w:pPr>
        <w:spacing w:line="580" w:lineRule="exact"/>
        <w:ind w:firstLine="640"/>
        <w:jc w:val="both"/>
      </w:pPr>
      <w:r>
        <w:rPr>
          <w:rFonts w:ascii="仿宋_GB2312" w:hAnsi="仿宋_GB2312" w:eastAsia="仿宋_GB2312"/>
          <w:b w:val="0"/>
          <w:sz w:val="32"/>
        </w:rPr>
        <w:t>2.社会保障和就业支出(类)159.96万元,占9.11%。</w:t>
      </w:r>
    </w:p>
    <w:p>
      <w:pPr>
        <w:spacing w:line="580" w:lineRule="exact"/>
        <w:ind w:firstLine="640"/>
        <w:jc w:val="both"/>
      </w:pPr>
      <w:r>
        <w:rPr>
          <w:rFonts w:ascii="仿宋_GB2312" w:hAnsi="仿宋_GB2312" w:eastAsia="仿宋_GB2312"/>
          <w:b w:val="0"/>
          <w:sz w:val="32"/>
        </w:rPr>
        <w:t>3.卫生健康支出(类)14.31万元,占0.81%。</w:t>
      </w:r>
    </w:p>
    <w:p>
      <w:pPr>
        <w:spacing w:line="580" w:lineRule="exact"/>
        <w:ind w:firstLine="640"/>
        <w:jc w:val="both"/>
      </w:pPr>
      <w:r>
        <w:rPr>
          <w:rFonts w:ascii="仿宋_GB2312" w:hAnsi="仿宋_GB2312" w:eastAsia="仿宋_GB2312"/>
          <w:b w:val="0"/>
          <w:sz w:val="32"/>
        </w:rPr>
        <w:t>4.住房保障支出(类)105.58万元,占6.01%。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初中教育(项):支出决算数为1,476.72万元，比上年决算增加289.13万元，增长24.35%,主要原因是：一是2024年调整基础绩效奖；二是2024年7月基本工资调增；三是本年人员调入，相关人员经费增加；在职人员正常晋升工资调整，岗位调整工资增加，社保、公积金基数调增，人员经费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94.29万元，比上年决算增加4.82万元，增长5.39%,主要原因是：本年在职人员增加，养老保险缴费较上年增加；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3.社会保障和就业支出(类)行政事业单位养老支出(款)机关事业单位职业年金缴费支出(项):支出决算数为52.42万元，比上年决算增加46.73万元，增长821.27%,主要原因是：本年新增退休人员，职业年金缴费支出增加。</w:t>
      </w:r>
    </w:p>
    <w:p>
      <w:pPr>
        <w:spacing w:line="580" w:lineRule="exact"/>
        <w:ind w:firstLine="640"/>
        <w:jc w:val="both"/>
      </w:pPr>
      <w:r>
        <w:rPr>
          <w:rFonts w:ascii="仿宋_GB2312" w:hAnsi="仿宋_GB2312" w:eastAsia="仿宋_GB2312"/>
          <w:b w:val="0"/>
          <w:sz w:val="32"/>
        </w:rPr>
        <w:t>4.社会保障和就业支出(类)抚恤(款)死亡抚恤(项):支出决算数为13.25万元，比上年决算减少12.76万元，下降49.06%,主要原因是：本年新增死亡人员较上年减少，死亡抚恤支出较上年减少。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14.08万元，比上年决算增加14.08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0.22万元，比上年决算增加0.22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105.58万元，比上年决算增加33.18万元，增长45.83%,主要原因是：本年在职人员工资基数调增，公积金缴费基数上涨，相应支出增加；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2024年度一般公共预算财政拨款基本支出1,756.57万元，其中：</w:t>
      </w:r>
      <w:r>
        <w:rPr>
          <w:rFonts w:ascii="仿宋_GB2312" w:hAnsi="仿宋_GB2312" w:eastAsia="仿宋_GB2312"/>
          <w:b/>
          <w:sz w:val="32"/>
        </w:rPr>
        <w:t>人员经费1,550.72万元，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公用经费205.85万元，</w:t>
      </w:r>
      <w:r>
        <w:rPr>
          <w:rFonts w:ascii="仿宋_GB2312" w:hAnsi="仿宋_GB2312" w:eastAsia="仿宋_GB2312"/>
          <w:b w:val="0"/>
          <w:sz w:val="32"/>
        </w:rPr>
        <w:t>包括：办公费、水费、取暖费、物业管理费、维修（护）费、培训费、工会经费、其他商品和服务支出。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2024年度特克斯县第二中学（事业单位）公用经费支出205.85万元，比上年增加6.89万元，增长3.46%，主要原因是：本年在职人员增加，办公费用、差旅费增加。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1,813.50万元，实际执行总额1,813.50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特克斯县第二中学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1,126.07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1,126.07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1,813.50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1,813.50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1,756.57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1,756.57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1,126.07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1,126.07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注重加强党的二十大、二十届三中全会精神的学习和马克思主义中国化时代化系统理论的学习,深刻理解“两个确立”的决定性意义，不断增强“四个意识”、坚定“四个自信”、坚决做到“两个维护”，牢牢把握正确政治方向，自觉在思想上政治上行动上同以习近平同志为核心的党中央保持高度一致,把学深悟透习近平新时代中国特色社会主义思想作为做好一切工作的“金钥匙”。</w:t>
              <w:br/>
              <w:br/>
              <w:t>一是加强政治学习，提升全员理论素养。以提高广大教职工队伍思想政治素质、理论水平和运用理论解决实际问题能力为目标，深入开展政治理论学习。</w:t>
              <w:br/>
              <w:br/>
              <w:t>二是强化德育队伍建设，提升德育工作质量。定期组织德育处工作人员、班主任及学生会成员参加德育培训与研讨活动。</w:t>
              <w:br/>
              <w:br/>
              <w:t>三是抓教学常规管理，保证教育教学工作有序开展。</w:t>
              <w:br/>
              <w:br/>
              <w:t>四是加强团员队伍建设,发挥团员的榜样性和示范性，加强团员的思想教育,提高团员队伍的整体秦质,较好的促进学校的德育工作。</w:t>
              <w:br/>
              <w:br/>
              <w:t>五是注重宣传阵地建设,开展多项活动,营造文明向上的校园文化氛围，从思想到品质、从安全到卫生、从守纪到常规等多方面,强化学生认知,营造积极、健康、文明、向上的校园氛围。</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学校工作计划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