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特克斯县科学技术局2024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（一）贯彻执行国家创新驱动发展战略方针和自治区科技发展、引进国外智力规划和政策，结合实际拟定科技发展相关配套政策措施并组织实施和监督检查。</w:t>
      </w:r>
    </w:p>
    <w:p>
      <w:pPr>
        <w:spacing w:line="580" w:lineRule="exact"/>
        <w:ind w:firstLine="640"/>
        <w:jc w:val="both"/>
      </w:pPr>
      <w:r>
        <w:rPr>
          <w:rFonts w:ascii="仿宋_GB2312" w:hAnsi="仿宋_GB2312" w:eastAsia="仿宋_GB2312"/>
          <w:sz w:val="32"/>
        </w:rPr>
        <w:t>（二）统筹推进全县创新体系建设与科技体制改革，会同有关部门建立健全技术创新激励机制；推动企业科技创新能力建设，承担推进科技融合发展相关工作。</w:t>
      </w:r>
    </w:p>
    <w:p>
      <w:pPr>
        <w:spacing w:line="580" w:lineRule="exact"/>
        <w:ind w:firstLine="640"/>
        <w:jc w:val="both"/>
      </w:pPr>
      <w:r>
        <w:rPr>
          <w:rFonts w:ascii="仿宋_GB2312" w:hAnsi="仿宋_GB2312" w:eastAsia="仿宋_GB2312"/>
          <w:sz w:val="32"/>
        </w:rPr>
        <w:t>（三）牵头建立全县科技管理平台和科技项目资金协调、评估、监管机制；会同有关部门提出优化配置科技资源的政策措施建议，推动多元化科技投入体系建设，协调管理财政科技计划（专项、基金等）并监督实施；承担国家、自治区科技计划（专项、基金等）申报工作。</w:t>
      </w:r>
    </w:p>
    <w:p>
      <w:pPr>
        <w:spacing w:line="580" w:lineRule="exact"/>
        <w:ind w:firstLine="640"/>
        <w:jc w:val="both"/>
      </w:pPr>
      <w:r>
        <w:rPr>
          <w:rFonts w:ascii="仿宋_GB2312" w:hAnsi="仿宋_GB2312" w:eastAsia="仿宋_GB2312"/>
          <w:sz w:val="32"/>
        </w:rPr>
        <w:t>（四）落实自治区、自治州基础研究规划、政策和标准，拟定科技创新基地建设规划并监督实施；承担国家实验室、自治区重点实施室建设的推荐工作，推动科研条件保障建设和科技资源开放共享。</w:t>
      </w:r>
    </w:p>
    <w:p>
      <w:pPr>
        <w:spacing w:line="580" w:lineRule="exact"/>
        <w:ind w:firstLine="640"/>
        <w:jc w:val="both"/>
      </w:pPr>
      <w:r>
        <w:rPr>
          <w:rFonts w:ascii="仿宋_GB2312" w:hAnsi="仿宋_GB2312" w:eastAsia="仿宋_GB2312"/>
          <w:sz w:val="32"/>
        </w:rPr>
        <w:t>（五）编制科技项目规划并监督实施，牵头组织经济与社会发展重要领域的技术成果应用示范。</w:t>
      </w:r>
    </w:p>
    <w:p>
      <w:pPr>
        <w:spacing w:line="580" w:lineRule="exact"/>
        <w:ind w:firstLine="640"/>
        <w:jc w:val="both"/>
      </w:pPr>
      <w:r>
        <w:rPr>
          <w:rFonts w:ascii="仿宋_GB2312" w:hAnsi="仿宋_GB2312" w:eastAsia="仿宋_GB2312"/>
          <w:sz w:val="32"/>
        </w:rPr>
        <w:t>（六）组织拟定科技促进农业农村和社会发展的规划、政策和措施；承担高新技术企业认定的推荐工作。</w:t>
      </w:r>
    </w:p>
    <w:p>
      <w:pPr>
        <w:spacing w:line="580" w:lineRule="exact"/>
        <w:ind w:firstLine="640"/>
        <w:jc w:val="both"/>
      </w:pPr>
      <w:r>
        <w:rPr>
          <w:rFonts w:ascii="仿宋_GB2312" w:hAnsi="仿宋_GB2312" w:eastAsia="仿宋_GB2312"/>
          <w:sz w:val="32"/>
        </w:rPr>
        <w:t>(七）牵头技术转移体系建设，拟定科技成果转移转化和促进产学研结合的相关政策措施并监督实施；指导科技服务业、技术市场和科技中介组织发展。</w:t>
      </w:r>
    </w:p>
    <w:p>
      <w:pPr>
        <w:spacing w:line="580" w:lineRule="exact"/>
        <w:ind w:firstLine="640"/>
        <w:jc w:val="both"/>
      </w:pPr>
      <w:r>
        <w:rPr>
          <w:rFonts w:ascii="仿宋_GB2312" w:hAnsi="仿宋_GB2312" w:eastAsia="仿宋_GB2312"/>
          <w:sz w:val="32"/>
        </w:rPr>
        <w:t>（八）统筹推进区域科技创新体委建设，指导区域创新发展、科技资源合理布局和协同创新能力建设，推动科技园区建设。</w:t>
      </w:r>
    </w:p>
    <w:p>
      <w:pPr>
        <w:spacing w:line="580" w:lineRule="exact"/>
        <w:ind w:firstLine="640"/>
        <w:jc w:val="both"/>
      </w:pPr>
      <w:r>
        <w:rPr>
          <w:rFonts w:ascii="仿宋_GB2312" w:hAnsi="仿宋_GB2312" w:eastAsia="仿宋_GB2312"/>
          <w:sz w:val="32"/>
        </w:rPr>
        <w:t>（九）负责科技监督评价体系建设和相关科技评估管理工作，指导科技评价机制改革，统筹科研诚信建设；落实国家、自治区创新调查和科技报告制度，指导科技保密工作。</w:t>
      </w:r>
    </w:p>
    <w:p>
      <w:pPr>
        <w:spacing w:line="580" w:lineRule="exact"/>
        <w:ind w:firstLine="640"/>
        <w:jc w:val="both"/>
      </w:pPr>
      <w:r>
        <w:rPr>
          <w:rFonts w:ascii="仿宋_GB2312" w:hAnsi="仿宋_GB2312" w:eastAsia="仿宋_GB2312"/>
          <w:sz w:val="32"/>
        </w:rPr>
        <w:t>（十）拟定科技对外交往与创新能力开放合作的规划、政策和措施，组织科技合作与科技人才交流活动；指导相关部门对外科技合作与科技人才交流工作；协调对口科技援疆工作。</w:t>
      </w:r>
    </w:p>
    <w:p>
      <w:pPr>
        <w:spacing w:line="580" w:lineRule="exact"/>
        <w:ind w:firstLine="640"/>
        <w:jc w:val="both"/>
      </w:pPr>
      <w:r>
        <w:rPr>
          <w:rFonts w:ascii="仿宋_GB2312" w:hAnsi="仿宋_GB2312" w:eastAsia="仿宋_GB2312"/>
          <w:sz w:val="32"/>
        </w:rPr>
        <w:t>（十一）负责引进国外智力工作；落实国家、自治区引进外国专家总体规划、计划及外国专家、团队联系服务机制；指导、协调县直部门引进国（境）外智力工作。</w:t>
      </w:r>
    </w:p>
    <w:p>
      <w:pPr>
        <w:spacing w:line="580" w:lineRule="exact"/>
        <w:ind w:firstLine="640"/>
        <w:jc w:val="both"/>
      </w:pPr>
      <w:r>
        <w:rPr>
          <w:rFonts w:ascii="仿宋_GB2312" w:hAnsi="仿宋_GB2312" w:eastAsia="仿宋_GB2312"/>
          <w:sz w:val="32"/>
        </w:rPr>
        <w:t>（十二）会同有关部门拟定科技人才队伍建设规划和政策；建立健全科技人才评价和激励机制，推动科技创新人才队伍建设；拟定科学普及和科学传播规划、政策、措施。</w:t>
      </w:r>
    </w:p>
    <w:p>
      <w:pPr>
        <w:spacing w:line="580" w:lineRule="exact"/>
        <w:ind w:firstLine="640"/>
        <w:jc w:val="both"/>
      </w:pPr>
      <w:r>
        <w:rPr>
          <w:rFonts w:ascii="仿宋_GB2312" w:hAnsi="仿宋_GB2312" w:eastAsia="仿宋_GB2312"/>
          <w:sz w:val="32"/>
        </w:rPr>
        <w:t>（十三）完成县委、县人民政府交办的其他任务。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特克斯县科学技术局2024年度，实有人数13人，其中：在职人员8人，减少1人；离休人员0人，增加0人；退休人员5人,增加0人。</w:t>
      </w:r>
    </w:p>
    <w:p>
      <w:pPr>
        <w:spacing w:line="580" w:lineRule="exact"/>
        <w:ind w:firstLine="640"/>
        <w:jc w:val="both"/>
      </w:pPr>
      <w:r>
        <w:rPr>
          <w:rFonts w:ascii="仿宋_GB2312" w:hAnsi="仿宋_GB2312" w:eastAsia="仿宋_GB2312"/>
          <w:sz w:val="32"/>
        </w:rPr>
        <w:t>单位无下属预算单位，下设3个科室，分别是：办公室、财务室、生产力促进中心。。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2024年度收入总计136.37万元，</w:t>
      </w:r>
      <w:r>
        <w:rPr>
          <w:rFonts w:ascii="仿宋_GB2312" w:hAnsi="仿宋_GB2312" w:eastAsia="仿宋_GB2312"/>
          <w:b w:val="0"/>
          <w:sz w:val="32"/>
        </w:rPr>
        <w:t>其中：本年收入合计136.37万元，使用非财政拨款结余（含专用结余）0.00万元，年初结转和结余0.00万元。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2024年度支出总计136.37万元，</w:t>
      </w:r>
      <w:r>
        <w:rPr>
          <w:rFonts w:ascii="仿宋_GB2312" w:hAnsi="仿宋_GB2312" w:eastAsia="仿宋_GB2312"/>
          <w:b w:val="0"/>
          <w:sz w:val="32"/>
        </w:rPr>
        <w:t>其中：本年支出合计136.37万元，结余分配0.00万元，年末结转和结余0.00万元。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减少29.33万元，下降17.70%，主要原因是：本年在职人员减少，相关人员经费减少。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本年收入136.37万元，</w:t>
      </w:r>
      <w:r>
        <w:rPr>
          <w:rFonts w:ascii="仿宋_GB2312" w:hAnsi="仿宋_GB2312" w:eastAsia="仿宋_GB2312"/>
          <w:b w:val="0"/>
          <w:sz w:val="32"/>
        </w:rPr>
        <w:t>其中：财政拨款收入136.37万元，占100.00%；上级补助收入0.00万元，占0.00%；事业收入0.00万元，占0.00%；经营收入0.00万元，占0.00%；附属单位上缴收入0.00万元，占0.00%；其他收入0.00万元，占0.00%。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本年支出136.37万元，</w:t>
      </w:r>
      <w:r>
        <w:rPr>
          <w:rFonts w:ascii="仿宋_GB2312" w:hAnsi="仿宋_GB2312" w:eastAsia="仿宋_GB2312"/>
          <w:b w:val="0"/>
          <w:sz w:val="32"/>
        </w:rPr>
        <w:t>其中：基本支出136.37万元，占100.00%；项目支出0.00万元，占0.00%；上缴上级支出0.00万元，占0.00%；经营支出0.00万元，占0.00%；对附属单位补助支出0.00万元，占0.00%。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2024年度财政拨款收入总计136.37万元，</w:t>
      </w:r>
      <w:r>
        <w:rPr>
          <w:rFonts w:ascii="仿宋_GB2312" w:hAnsi="仿宋_GB2312" w:eastAsia="仿宋_GB2312"/>
          <w:b w:val="0"/>
          <w:sz w:val="32"/>
        </w:rPr>
        <w:t>其中：年初财政拨款结转和结余0.00万元，本年财政拨款收入136.37万元。</w:t>
      </w:r>
      <w:r>
        <w:rPr>
          <w:rFonts w:ascii="仿宋_GB2312" w:hAnsi="仿宋_GB2312" w:eastAsia="仿宋_GB2312"/>
          <w:b/>
          <w:sz w:val="32"/>
        </w:rPr>
        <w:t>财政拨款支出总计136.37万元，</w:t>
      </w:r>
      <w:r>
        <w:rPr>
          <w:rFonts w:ascii="仿宋_GB2312" w:hAnsi="仿宋_GB2312" w:eastAsia="仿宋_GB2312"/>
          <w:b w:val="0"/>
          <w:sz w:val="32"/>
        </w:rPr>
        <w:t>其中：年末财政拨款结转和结余0.00万元，本年财政拨款支出136.37万元。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减少26.96万元，下降16.51%，主要原因是：本年在职人员减少，相关人员经费减少。</w:t>
      </w:r>
      <w:r>
        <w:rPr>
          <w:rFonts w:ascii="仿宋_GB2312" w:hAnsi="仿宋_GB2312" w:eastAsia="仿宋_GB2312"/>
          <w:b/>
          <w:sz w:val="32"/>
        </w:rPr>
        <w:t>与年初预算相比，</w:t>
      </w:r>
      <w:r>
        <w:rPr>
          <w:rFonts w:ascii="仿宋_GB2312" w:hAnsi="仿宋_GB2312" w:eastAsia="仿宋_GB2312"/>
          <w:b w:val="0"/>
          <w:sz w:val="32"/>
        </w:rPr>
        <w:t>年初预算数142.66万元，决算数136.37万元，预决算差异率-4.41%，主要原因是：本年在职人员减少，年中调减人员经费，导致预决算差异。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2024年度一般公共预算财政拨款支出136.37万元，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减少26.96万元，下降16.51%，主要原因是：本年在职人员减少，相关人员经费减少。</w:t>
      </w:r>
      <w:r>
        <w:rPr>
          <w:rFonts w:ascii="仿宋_GB2312" w:hAnsi="仿宋_GB2312" w:eastAsia="仿宋_GB2312"/>
          <w:b/>
          <w:sz w:val="32"/>
        </w:rPr>
        <w:t>与年初预算相比,</w:t>
      </w:r>
      <w:r>
        <w:rPr>
          <w:rFonts w:ascii="仿宋_GB2312" w:hAnsi="仿宋_GB2312" w:eastAsia="仿宋_GB2312"/>
          <w:b w:val="0"/>
          <w:sz w:val="32"/>
        </w:rPr>
        <w:t>年初预算数142.66万元，决算数136.37万元，预决算差异率-4.41%，主要原因是：本年在职人员减少，年中调减人员经费，导致预决算差异。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1.科学技术支出(类)136.37万元,占100.00%。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1.科学技术支出(类)科学技术管理事务(款)行政运行(项):支出决算数为136.37万元，比上年决算增加3.23万元，增长2.43%,主要原因是：本年在职人员工资调增，导致相关人员经费较上年有所增加。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2.科学技术支出(类)技术研究与开发(款)科技成果转化与扩散(项):支出决算数为0.00万元，比上年决算减少8.00万元，下降100.00%,主要原因是：本年减少科技成果转化资金。</w:t>
      </w:r>
    </w:p>
    <w:p>
      <w:pPr>
        <w:spacing w:line="580" w:lineRule="exact"/>
        <w:ind w:firstLine="640"/>
        <w:jc w:val="both"/>
      </w:pPr>
      <w:r>
        <w:rPr>
          <w:rFonts w:ascii="仿宋_GB2312" w:hAnsi="仿宋_GB2312" w:eastAsia="仿宋_GB2312"/>
          <w:b w:val="0"/>
          <w:sz w:val="32"/>
        </w:rPr>
        <w:t>3.社会保障和就业支出(类)抚恤(款)死亡抚恤(项):支出决算数为0.00万元，比上年决算减少22.11万元，下降100.00%,主要原因是：本年无新增死亡人员，死亡抚恤支出较上年减少。</w:t>
      </w:r>
    </w:p>
    <w:p>
      <w:pPr>
        <w:spacing w:line="580" w:lineRule="exact"/>
        <w:ind w:firstLine="640"/>
        <w:jc w:val="both"/>
      </w:pPr>
      <w:r>
        <w:rPr>
          <w:rFonts w:ascii="仿宋_GB2312" w:hAnsi="仿宋_GB2312" w:eastAsia="仿宋_GB2312"/>
          <w:b w:val="0"/>
          <w:sz w:val="32"/>
        </w:rPr>
        <w:t>4.住房保障支出(类)住房改革支出(款)住房公积金(项):支出决算数为0.00万元，比上年决算减少0.08万元，下降100.00%,主要原因是：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2024年度一般公共预算财政拨款基本支出136.37万元，其中：</w:t>
      </w:r>
      <w:r>
        <w:rPr>
          <w:rFonts w:ascii="仿宋_GB2312" w:hAnsi="仿宋_GB2312" w:eastAsia="仿宋_GB2312"/>
          <w:b/>
          <w:sz w:val="32"/>
        </w:rPr>
        <w:t>人员经费133.41万元，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包括：基本工资、津贴补贴、奖金、绩效工资、机关事业单位基本养老保险缴费、职工基本医疗保险缴费、公务员医疗补助缴费、其他社会保障缴费、住房公积金、退休费、生活补助。</w:t>
      </w:r>
    </w:p>
    <w:p>
      <w:pPr>
        <w:spacing w:line="580" w:lineRule="exact"/>
        <w:ind w:firstLine="640"/>
        <w:jc w:val="both"/>
      </w:pPr>
      <w:r>
        <w:rPr>
          <w:rFonts w:ascii="仿宋_GB2312" w:hAnsi="仿宋_GB2312" w:eastAsia="仿宋_GB2312"/>
          <w:b/>
          <w:sz w:val="32"/>
        </w:rPr>
        <w:t>公用经费2.96万元，</w:t>
      </w:r>
      <w:r>
        <w:rPr>
          <w:rFonts w:ascii="仿宋_GB2312" w:hAnsi="仿宋_GB2312" w:eastAsia="仿宋_GB2312"/>
          <w:b w:val="0"/>
          <w:sz w:val="32"/>
        </w:rPr>
        <w:t>包括：办公费、邮电费、差旅费、工会经费、公务用车运行维护费。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2024年度财政拨款“三公”经费支出0.66万元，</w:t>
      </w:r>
      <w:r>
        <w:rPr>
          <w:rFonts w:ascii="仿宋_GB2312" w:hAnsi="仿宋_GB2312" w:eastAsia="仿宋_GB2312"/>
          <w:b w:val="0"/>
          <w:sz w:val="32"/>
        </w:rPr>
        <w:t>比上年增加0.00万元，增长0.00%，主要原因是：我单位“三公”经费与上年一致无变化。</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公务用车购置及运行维护费支出0.66万元，占100.00%，比上年增加0.00万元，增长0.00%，主要原因是：我单位公务用车运行维护费与上年一致无变化。</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0.66万元，其中：公务用车购置费0.00万元，公务用车运行维护费0.66万元。公务用车运行维护费开支内容包括车辆加油费、保险费、审车费、过路费等。公务用车购置数0辆，公务用车保有量1辆。国有资产占用情况中固定资产车辆1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0.66万元，决算数0.66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0.66万元，决算数0.66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2024年度特克斯县科学技术局（行政单位和参照公务员法管理事业单位）机关运行经费支出2.96万元，比上年减少7.21万元，下降70.89%，主要原因是：严控经费支出，厉行节约，减少经费支出。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2024年度政府采购支出总额0.07万元，其中：政府采购货物支出0.00万元、政府采购工程支出0.00万元、政府采购服务支出0.07万元。</w:t>
      </w:r>
    </w:p>
    <w:p>
      <w:pPr>
        <w:spacing w:line="580" w:lineRule="exact"/>
        <w:ind w:firstLine="640"/>
        <w:jc w:val="both"/>
      </w:pPr>
      <w:r>
        <w:rPr>
          <w:rFonts w:ascii="仿宋_GB2312" w:hAnsi="仿宋_GB2312" w:eastAsia="仿宋_GB2312"/>
          <w:b w:val="0"/>
          <w:sz w:val="32"/>
        </w:rPr>
        <w:t>授予中小企业合同金额0.07万元，占政府采购支出总额的100.00%，其中：授予小微企业合同金额0.07万元，占政府采购支出总额的100.00%。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1辆，价值24.38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136.37万元，实际执行总额136.37万元；预算绩效评价项目0个，全年预算数0.00万元，全年执行数0.00万元。预算绩效管理取得的成效：本单位无绩效自评项目。发现的问题及原因：本单位无绩效自评项目。下一步改进措施：本单位无绩效自评项目。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特克斯县科学技术局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157.66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157.66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136.37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136.37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142.66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142.66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136.37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136.37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科技创新工作：1、科技项目申报工作，把科技项目作为科技创新支撑乡村振兴、产业发展和提升创新发展能力的重要载体，积极谋划储备一批，实行科技项目动态储备；2、“科技活动周”、“科技特派员”培训工作，明确责任分工和工作措施，联合、协调有关部门、乡镇，合力推进高企培育、科技特派员等工作；3、“创新创业大赛”工作，制定科技创新重点任务指标责任分解方案、高新技术企业培育申报实施方案、“科技创新赋能高质量发展行”计划等。</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一是巩固主题教育成果，组织好党纪教育，开展理论中心组学习13次、干部集中学习18次，召开党纪专题研讨2次，开展党日活动10次；组织干部、科技特派员、企业等参加自治区、州组织的各类线上线下科技业务培训等20余场次；借助网络、学习强国等平台，强化自学，与院校专家、企业家交流，科技创新发展能力持续提升。二是加大对企业的指导服务。7家高企获得自治州高企认定奖励资金130万元，引导企业配套投入890万元，自治区高企认定、研发费用奖励资料已报送。三是根据《伊犁州科技特派员管理办法》，扩大科技特派员选聘范围，由农牧业向食品加工、文旅、电商及企业管理等方面拓展，达到140人。组织科技特派员组团服务，探索建立科技特派团2个。全疆科技特派员培训观摩在我县开展半天，助推了我县科技特派员工作提升。</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申报科技计划项目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十四五规划、科技创新工作计划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开展“科技活动周”活动场次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十四五规划、科技创新工作计划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开展“科技特派员”培训场次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十四五规划、科技创新工作计划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开展“创新创业大赛”活动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科技创新工作计划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