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default" w:ascii="Times New Roman" w:hAnsi="Times New Roman" w:eastAsia="华文中宋" w:cs="Times New Roman"/>
          <w:b/>
          <w:kern w:val="0"/>
          <w:sz w:val="52"/>
          <w:szCs w:val="52"/>
        </w:rPr>
      </w:pPr>
    </w:p>
    <w:p>
      <w:pPr>
        <w:spacing w:line="540" w:lineRule="exact"/>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方正小标宋_GBK" w:cs="Times New Roman"/>
          <w:kern w:val="0"/>
          <w:sz w:val="48"/>
          <w:szCs w:val="48"/>
        </w:rPr>
      </w:pPr>
      <w:r>
        <w:rPr>
          <w:rFonts w:hint="eastAsia" w:ascii="方正小标宋简体" w:hAnsi="方正小标宋简体" w:eastAsia="方正小标宋简体" w:cs="方正小标宋简体"/>
          <w:kern w:val="0"/>
          <w:sz w:val="44"/>
          <w:szCs w:val="44"/>
          <w:lang w:val="en-US" w:eastAsia="zh-CN"/>
        </w:rPr>
        <w:t>2024年单位资金收入（事业收入）</w:t>
      </w:r>
      <w:r>
        <w:rPr>
          <w:rFonts w:hint="eastAsia" w:ascii="方正小标宋简体" w:hAnsi="方正小标宋简体" w:eastAsia="方正小标宋简体" w:cs="方正小标宋简体"/>
          <w:kern w:val="0"/>
          <w:sz w:val="44"/>
          <w:szCs w:val="44"/>
        </w:rPr>
        <w:t>项目支出绩效评价报告</w:t>
      </w: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（202</w:t>
      </w:r>
      <w:r>
        <w:rPr>
          <w:rFonts w:hint="default" w:ascii="Times New Roman" w:hAnsi="Times New Roman" w:eastAsia="仿宋_GB2312" w:cs="Times New Roman"/>
          <w:kern w:val="0"/>
          <w:sz w:val="32"/>
          <w:szCs w:val="32"/>
          <w:lang w:val="en-US" w:eastAsia="zh-CN"/>
        </w:rPr>
        <w:t>4</w:t>
      </w:r>
      <w:r>
        <w:rPr>
          <w:rFonts w:hint="default" w:ascii="Times New Roman" w:hAnsi="Times New Roman" w:eastAsia="仿宋_GB2312" w:cs="Times New Roman"/>
          <w:kern w:val="0"/>
          <w:sz w:val="32"/>
          <w:szCs w:val="32"/>
        </w:rPr>
        <w:t>年度）</w:t>
      </w:r>
    </w:p>
    <w:p>
      <w:pPr>
        <w:spacing w:line="540" w:lineRule="exact"/>
        <w:jc w:val="center"/>
        <w:rPr>
          <w:rFonts w:hint="default" w:ascii="Times New Roman" w:hAnsi="Times New Roman" w:eastAsia="仿宋_GB2312" w:cs="Times New Roman"/>
          <w:kern w:val="0"/>
          <w:sz w:val="32"/>
          <w:szCs w:val="32"/>
        </w:rPr>
      </w:pPr>
    </w:p>
    <w:p>
      <w:pPr>
        <w:spacing w:line="540" w:lineRule="exact"/>
        <w:jc w:val="center"/>
        <w:rPr>
          <w:rFonts w:hint="default" w:ascii="Times New Roman" w:hAnsi="Times New Roman" w:eastAsia="仿宋_GB2312" w:cs="Times New Roman"/>
          <w:kern w:val="0"/>
          <w:sz w:val="32"/>
          <w:szCs w:val="32"/>
        </w:rPr>
      </w:pPr>
    </w:p>
    <w:p>
      <w:pPr>
        <w:spacing w:line="540" w:lineRule="exact"/>
        <w:jc w:val="center"/>
        <w:rPr>
          <w:rFonts w:hint="default" w:ascii="Times New Roman" w:hAnsi="Times New Roman" w:eastAsia="仿宋_GB2312" w:cs="Times New Roman"/>
          <w:kern w:val="0"/>
          <w:sz w:val="32"/>
          <w:szCs w:val="32"/>
        </w:rPr>
      </w:pPr>
    </w:p>
    <w:p>
      <w:pPr>
        <w:pStyle w:val="12"/>
        <w:rPr>
          <w:rFonts w:hint="default" w:ascii="Times New Roman" w:hAnsi="Times New Roman" w:cs="Times New Roman"/>
          <w:sz w:val="32"/>
          <w:szCs w:val="32"/>
        </w:rPr>
      </w:pPr>
    </w:p>
    <w:p>
      <w:pPr>
        <w:spacing w:line="540" w:lineRule="exact"/>
        <w:jc w:val="center"/>
        <w:rPr>
          <w:rFonts w:hint="default" w:ascii="Times New Roman" w:hAnsi="Times New Roman" w:eastAsia="仿宋_GB2312" w:cs="Times New Roman"/>
          <w:kern w:val="0"/>
          <w:sz w:val="32"/>
          <w:szCs w:val="32"/>
        </w:rPr>
      </w:pPr>
    </w:p>
    <w:p>
      <w:pPr>
        <w:spacing w:line="540" w:lineRule="exact"/>
        <w:rPr>
          <w:rFonts w:hint="default" w:ascii="Times New Roman" w:hAnsi="Times New Roman" w:eastAsia="仿宋_GB2312" w:cs="Times New Roman"/>
          <w:kern w:val="0"/>
          <w:sz w:val="32"/>
          <w:szCs w:val="32"/>
        </w:rPr>
      </w:pPr>
    </w:p>
    <w:p>
      <w:pPr>
        <w:spacing w:line="700" w:lineRule="exact"/>
        <w:ind w:firstLine="640" w:firstLineChars="200"/>
        <w:jc w:val="left"/>
        <w:rPr>
          <w:rFonts w:hint="default" w:eastAsia="仿宋_GB2312" w:cs="Times New Roman"/>
          <w:kern w:val="0"/>
          <w:sz w:val="32"/>
          <w:szCs w:val="32"/>
          <w:lang w:val="en-US" w:eastAsia="zh-CN"/>
        </w:rPr>
      </w:pPr>
      <w:r>
        <w:rPr>
          <w:rFonts w:hint="default" w:ascii="Times New Roman" w:hAnsi="Times New Roman" w:eastAsia="仿宋_GB2312" w:cs="Times New Roman"/>
          <w:kern w:val="0"/>
          <w:sz w:val="32"/>
          <w:szCs w:val="32"/>
        </w:rPr>
        <w:t>项目名称：</w:t>
      </w:r>
      <w:r>
        <w:rPr>
          <w:rFonts w:hint="eastAsia" w:eastAsia="仿宋_GB2312" w:cs="Times New Roman"/>
          <w:kern w:val="0"/>
          <w:sz w:val="32"/>
          <w:szCs w:val="32"/>
          <w:lang w:val="en-US" w:eastAsia="zh-CN"/>
        </w:rPr>
        <w:t>2024年单位资金收入（事业收入）</w:t>
      </w:r>
      <w:r>
        <w:rPr>
          <w:rFonts w:hint="default" w:eastAsia="仿宋_GB2312" w:cs="Times New Roman"/>
          <w:kern w:val="0"/>
          <w:sz w:val="32"/>
          <w:szCs w:val="32"/>
          <w:lang w:val="en-US" w:eastAsia="zh-CN"/>
        </w:rPr>
        <w:t>项目</w:t>
      </w:r>
    </w:p>
    <w:p>
      <w:pPr>
        <w:spacing w:line="700" w:lineRule="exact"/>
        <w:ind w:firstLine="640" w:firstLineChars="200"/>
        <w:jc w:val="left"/>
        <w:rPr>
          <w:rFonts w:hint="default" w:ascii="Times New Roman" w:hAnsi="Times New Roman" w:eastAsia="仿宋_GB2312" w:cs="Times New Roman"/>
          <w:kern w:val="0"/>
          <w:sz w:val="32"/>
          <w:szCs w:val="32"/>
          <w:lang w:val="en-US"/>
        </w:rPr>
      </w:pPr>
      <w:r>
        <w:rPr>
          <w:rFonts w:hint="default" w:ascii="Times New Roman" w:hAnsi="Times New Roman" w:eastAsia="仿宋_GB2312" w:cs="Times New Roman"/>
          <w:kern w:val="0"/>
          <w:sz w:val="32"/>
          <w:szCs w:val="32"/>
        </w:rPr>
        <w:t>实施单位（公章）：</w:t>
      </w:r>
      <w:r>
        <w:rPr>
          <w:rFonts w:hint="eastAsia" w:eastAsia="仿宋_GB2312" w:cs="Times New Roman"/>
          <w:kern w:val="0"/>
          <w:sz w:val="32"/>
          <w:szCs w:val="32"/>
          <w:lang w:val="en-US" w:eastAsia="zh-CN"/>
        </w:rPr>
        <w:t>特克斯县包扎得尔牧业卫生院</w:t>
      </w:r>
    </w:p>
    <w:p>
      <w:pPr>
        <w:spacing w:line="700" w:lineRule="exact"/>
        <w:ind w:firstLine="640" w:firstLineChars="200"/>
        <w:jc w:val="left"/>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rPr>
        <w:t>主管部门（公章）：</w:t>
      </w:r>
      <w:r>
        <w:rPr>
          <w:rFonts w:hint="eastAsia" w:eastAsia="仿宋_GB2312" w:cs="Times New Roman"/>
          <w:kern w:val="0"/>
          <w:sz w:val="32"/>
          <w:szCs w:val="32"/>
          <w:lang w:val="en-US" w:eastAsia="zh-CN"/>
        </w:rPr>
        <w:t>特克斯县卫生健康委员会</w:t>
      </w:r>
    </w:p>
    <w:p>
      <w:pPr>
        <w:spacing w:line="700" w:lineRule="exact"/>
        <w:ind w:firstLine="640" w:firstLineChars="200"/>
        <w:jc w:val="left"/>
        <w:rPr>
          <w:rFonts w:hint="default" w:eastAsia="仿宋_GB2312" w:cs="Times New Roman"/>
          <w:kern w:val="0"/>
          <w:sz w:val="32"/>
          <w:szCs w:val="32"/>
          <w:lang w:val="en-US" w:eastAsia="zh-CN"/>
        </w:rPr>
      </w:pPr>
      <w:r>
        <w:rPr>
          <w:rFonts w:hint="default" w:ascii="Times New Roman" w:hAnsi="Times New Roman" w:eastAsia="仿宋_GB2312" w:cs="Times New Roman"/>
          <w:kern w:val="0"/>
          <w:sz w:val="32"/>
          <w:szCs w:val="32"/>
        </w:rPr>
        <w:t>项目负责人（签章）：</w:t>
      </w:r>
      <w:r>
        <w:rPr>
          <w:rFonts w:hint="eastAsia" w:eastAsia="仿宋_GB2312" w:cs="Times New Roman"/>
          <w:kern w:val="0"/>
          <w:sz w:val="32"/>
          <w:szCs w:val="32"/>
          <w:lang w:val="en-US" w:eastAsia="zh-CN"/>
        </w:rPr>
        <w:t>居马泰</w:t>
      </w:r>
    </w:p>
    <w:p>
      <w:pPr>
        <w:spacing w:line="700" w:lineRule="exact"/>
        <w:ind w:firstLine="640" w:firstLineChars="200"/>
        <w:jc w:val="left"/>
        <w:rPr>
          <w:rStyle w:val="17"/>
          <w:rFonts w:hint="default" w:ascii="Times New Roman" w:hAnsi="Times New Roman" w:eastAsia="黑体" w:cs="Times New Roman"/>
          <w:b w:val="0"/>
          <w:spacing w:val="-4"/>
          <w:sz w:val="32"/>
          <w:szCs w:val="32"/>
        </w:rPr>
      </w:pPr>
      <w:r>
        <w:rPr>
          <w:rFonts w:hint="default" w:ascii="Times New Roman" w:hAnsi="Times New Roman" w:eastAsia="仿宋_GB2312" w:cs="Times New Roman"/>
          <w:kern w:val="0"/>
          <w:sz w:val="32"/>
          <w:szCs w:val="32"/>
        </w:rPr>
        <w:t>填报时间：</w:t>
      </w:r>
      <w:r>
        <w:rPr>
          <w:rFonts w:hint="eastAsia" w:eastAsia="仿宋_GB2312" w:cs="Times New Roman"/>
          <w:kern w:val="0"/>
          <w:sz w:val="32"/>
          <w:szCs w:val="32"/>
          <w:lang w:val="en-US" w:eastAsia="zh-CN"/>
        </w:rPr>
        <w:t>2025</w:t>
      </w:r>
      <w:r>
        <w:rPr>
          <w:rFonts w:hint="default" w:ascii="Times New Roman" w:hAnsi="Times New Roman" w:eastAsia="仿宋_GB2312" w:cs="Times New Roman"/>
          <w:kern w:val="0"/>
          <w:sz w:val="32"/>
          <w:szCs w:val="32"/>
        </w:rPr>
        <w:t>年</w:t>
      </w:r>
      <w:r>
        <w:rPr>
          <w:rFonts w:hint="eastAsia" w:eastAsia="仿宋_GB2312" w:cs="Times New Roman"/>
          <w:kern w:val="0"/>
          <w:sz w:val="32"/>
          <w:szCs w:val="32"/>
          <w:lang w:val="en-US" w:eastAsia="zh-CN"/>
        </w:rPr>
        <w:t>5</w:t>
      </w:r>
      <w:r>
        <w:rPr>
          <w:rFonts w:hint="default" w:ascii="Times New Roman" w:hAnsi="Times New Roman" w:eastAsia="仿宋_GB2312" w:cs="Times New Roman"/>
          <w:kern w:val="0"/>
          <w:sz w:val="32"/>
          <w:szCs w:val="32"/>
        </w:rPr>
        <w:t>月</w:t>
      </w:r>
      <w:r>
        <w:rPr>
          <w:rFonts w:hint="eastAsia" w:eastAsia="仿宋_GB2312" w:cs="Times New Roman"/>
          <w:kern w:val="0"/>
          <w:sz w:val="32"/>
          <w:szCs w:val="32"/>
          <w:lang w:val="en-US" w:eastAsia="zh-CN"/>
        </w:rPr>
        <w:t>12</w:t>
      </w:r>
      <w:r>
        <w:rPr>
          <w:rFonts w:hint="default" w:ascii="Times New Roman" w:hAnsi="Times New Roman" w:eastAsia="仿宋_GB2312" w:cs="Times New Roman"/>
          <w:kern w:val="0"/>
          <w:sz w:val="32"/>
          <w:szCs w:val="32"/>
        </w:rPr>
        <w:t>日</w:t>
      </w:r>
    </w:p>
    <w:p>
      <w:pPr>
        <w:spacing w:line="540" w:lineRule="exact"/>
        <w:ind w:firstLine="640"/>
        <w:rPr>
          <w:rStyle w:val="17"/>
          <w:rFonts w:hint="default" w:ascii="Times New Roman" w:hAnsi="Times New Roman" w:eastAsia="黑体" w:cs="Times New Roman"/>
          <w:b w:val="0"/>
          <w:spacing w:val="-4"/>
          <w:sz w:val="32"/>
          <w:szCs w:val="32"/>
        </w:rPr>
      </w:pPr>
    </w:p>
    <w:p>
      <w:pPr>
        <w:spacing w:line="540" w:lineRule="exact"/>
        <w:rPr>
          <w:rStyle w:val="17"/>
          <w:rFonts w:hint="default" w:ascii="Times New Roman" w:hAnsi="Times New Roman" w:eastAsia="黑体" w:cs="Times New Roman"/>
          <w:b w:val="0"/>
          <w:spacing w:val="-4"/>
          <w:sz w:val="32"/>
          <w:szCs w:val="32"/>
        </w:rPr>
      </w:pPr>
    </w:p>
    <w:p>
      <w:pPr>
        <w:spacing w:line="560" w:lineRule="exact"/>
        <w:ind w:firstLine="640" w:firstLineChars="200"/>
        <w:rPr>
          <w:rFonts w:hint="default" w:ascii="Times New Roman" w:hAnsi="Times New Roman" w:eastAsia="黑体" w:cs="Times New Roman"/>
          <w:bCs/>
          <w:sz w:val="32"/>
          <w:szCs w:val="32"/>
        </w:rPr>
        <w:sectPr>
          <w:pgSz w:w="11906" w:h="16838"/>
          <w:pgMar w:top="2098" w:right="1531" w:bottom="1984" w:left="1531" w:header="851" w:footer="992" w:gutter="0"/>
          <w:cols w:space="425" w:num="1"/>
          <w:docGrid w:type="lines" w:linePitch="312" w:charSpace="0"/>
        </w:sectPr>
      </w:pPr>
    </w:p>
    <w:p>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pPr>
        <w:keepNext w:val="0"/>
        <w:keepLines w:val="0"/>
        <w:pageBreakBefore w:val="0"/>
        <w:widowControl w:val="0"/>
        <w:kinsoku/>
        <w:wordWrap/>
        <w:overflowPunct/>
        <w:topLinePunct w:val="0"/>
        <w:autoSpaceDE/>
        <w:autoSpaceDN/>
        <w:bidi w:val="0"/>
        <w:adjustRightInd/>
        <w:snapToGrid w:val="0"/>
        <w:spacing w:line="560" w:lineRule="exact"/>
        <w:ind w:firstLine="616" w:firstLineChars="200"/>
        <w:textAlignment w:val="auto"/>
        <w:rPr>
          <w:rFonts w:hint="default" w:ascii="仿宋_GB2312" w:hAnsi="宋体" w:eastAsia="仿宋_GB2312" w:cs="宋体"/>
          <w:spacing w:val="-6"/>
          <w:kern w:val="0"/>
          <w:sz w:val="32"/>
          <w:szCs w:val="32"/>
          <w:u w:val="none" w:color="000000"/>
          <w:shd w:val="clear" w:color="auto" w:fill="FFFFFF"/>
          <w:lang w:val="en-US" w:eastAsia="zh-CN" w:bidi="ar-SA"/>
        </w:rPr>
      </w:pPr>
      <w:r>
        <w:rPr>
          <w:rFonts w:hint="eastAsia" w:ascii="仿宋_GB2312" w:hAnsi="宋体" w:eastAsia="仿宋_GB2312" w:cs="宋体"/>
          <w:spacing w:val="-6"/>
          <w:kern w:val="0"/>
          <w:sz w:val="32"/>
          <w:szCs w:val="32"/>
          <w:u w:val="none" w:color="000000"/>
          <w:shd w:val="clear" w:color="auto" w:fill="FFFFFF"/>
          <w:lang w:val="en-US" w:eastAsia="zh-CN" w:bidi="ar-SA"/>
        </w:rPr>
        <w:t>为人民健康医疗与预防保健服务，常见病多发病的治疗和护理；预防保健。保证基层医疗机构平稳运行和发展，调动基层医疗机构和医务人员的积极性。提升服务能力，促进其可持续发展。提供以预防保健、基本医疗、公共卫生、健康教育、JHSY、全民健康体检、康复等为主要内容的综合性服务。建立了稳定长效的多渠道补偿机制，确保基层医疗卫生机构有足够的资金维持日常运转，提升服务能力，促进其可持续发展。</w:t>
      </w:r>
    </w:p>
    <w:p>
      <w:pPr>
        <w:pStyle w:val="12"/>
        <w:numPr>
          <w:ilvl w:val="0"/>
          <w:numId w:val="0"/>
        </w:numPr>
        <w:spacing w:before="0" w:after="0" w:line="560" w:lineRule="exact"/>
        <w:ind w:firstLine="562" w:firstLineChars="200"/>
        <w:jc w:val="both"/>
        <w:rPr>
          <w:rFonts w:hint="default" w:ascii="宋体" w:hAnsi="宋体" w:eastAsia="宋体" w:cs="宋体"/>
          <w:b/>
          <w:bCs/>
          <w:i w:val="0"/>
          <w:iCs w:val="0"/>
          <w:caps w:val="0"/>
          <w:color w:val="333333"/>
          <w:spacing w:val="0"/>
          <w:kern w:val="2"/>
          <w:sz w:val="28"/>
          <w:szCs w:val="28"/>
          <w:shd w:val="clear" w:fill="FFFFFF"/>
          <w:lang w:val="en-US" w:eastAsia="zh-CN" w:bidi="ar-SA"/>
        </w:rPr>
      </w:pPr>
      <w:r>
        <w:rPr>
          <w:rFonts w:hint="default" w:ascii="宋体" w:hAnsi="宋体" w:eastAsia="宋体" w:cs="宋体"/>
          <w:b/>
          <w:bCs/>
          <w:i w:val="0"/>
          <w:iCs w:val="0"/>
          <w:caps w:val="0"/>
          <w:color w:val="333333"/>
          <w:spacing w:val="0"/>
          <w:kern w:val="2"/>
          <w:sz w:val="28"/>
          <w:szCs w:val="28"/>
          <w:shd w:val="clear" w:fill="FFFFFF"/>
          <w:lang w:val="en-US" w:eastAsia="zh-CN" w:bidi="ar-SA"/>
        </w:rPr>
        <w:t>2.项目主要内容：</w:t>
      </w:r>
    </w:p>
    <w:p>
      <w:pPr>
        <w:keepNext w:val="0"/>
        <w:keepLines w:val="0"/>
        <w:pageBreakBefore w:val="0"/>
        <w:widowControl w:val="0"/>
        <w:kinsoku/>
        <w:wordWrap/>
        <w:overflowPunct/>
        <w:topLinePunct w:val="0"/>
        <w:autoSpaceDE/>
        <w:autoSpaceDN/>
        <w:bidi w:val="0"/>
        <w:adjustRightInd/>
        <w:snapToGrid w:val="0"/>
        <w:spacing w:line="560" w:lineRule="exact"/>
        <w:ind w:firstLine="616" w:firstLineChars="200"/>
        <w:textAlignment w:val="auto"/>
        <w:rPr>
          <w:rFonts w:hint="default" w:ascii="仿宋_GB2312" w:hAnsi="宋体" w:eastAsia="仿宋_GB2312" w:cs="宋体"/>
          <w:spacing w:val="-6"/>
          <w:kern w:val="0"/>
          <w:sz w:val="32"/>
          <w:szCs w:val="32"/>
          <w:u w:val="none" w:color="000000"/>
          <w:shd w:val="clear" w:color="auto" w:fill="FFFFFF"/>
          <w:lang w:val="en-US" w:eastAsia="zh-CN" w:bidi="ar-SA"/>
        </w:rPr>
      </w:pPr>
      <w:r>
        <w:rPr>
          <w:rFonts w:hint="default" w:ascii="仿宋_GB2312" w:hAnsi="宋体" w:eastAsia="仿宋_GB2312" w:cs="宋体"/>
          <w:spacing w:val="-6"/>
          <w:kern w:val="0"/>
          <w:sz w:val="32"/>
          <w:szCs w:val="32"/>
          <w:u w:val="none" w:color="000000"/>
          <w:shd w:val="clear" w:color="auto" w:fill="FFFFFF"/>
          <w:lang w:val="en-US" w:eastAsia="zh-CN" w:bidi="ar-SA"/>
        </w:rPr>
        <w:t>项目主要内容：</w:t>
      </w:r>
      <w:r>
        <w:rPr>
          <w:rFonts w:hint="eastAsia" w:ascii="仿宋_GB2312" w:hAnsi="宋体" w:eastAsia="仿宋_GB2312" w:cs="宋体"/>
          <w:spacing w:val="-6"/>
          <w:kern w:val="0"/>
          <w:sz w:val="32"/>
          <w:szCs w:val="32"/>
          <w:u w:val="none" w:color="000000"/>
          <w:shd w:val="clear" w:color="auto" w:fill="FFFFFF"/>
          <w:lang w:val="en-US" w:eastAsia="zh-CN" w:bidi="ar-SA"/>
        </w:rPr>
        <w:t>单位自有资金收入主要围绕基本医疗服务收入门诊与住院诊疗收入涵盖诊查费、检查费、治疗费等。药品耗材收入销售基本药物和常用耗材产生的收入。实施基本药物后药品加成取消，形成一定规模的收入。中医特色医疗服务收入开焊针灸、推拿、艾灸、中药熏蒸等传统的中医项目带来的收入等。</w:t>
      </w:r>
    </w:p>
    <w:p>
      <w:pPr>
        <w:keepNext w:val="0"/>
        <w:keepLines w:val="0"/>
        <w:pageBreakBefore w:val="0"/>
        <w:widowControl w:val="0"/>
        <w:kinsoku/>
        <w:wordWrap/>
        <w:overflowPunct/>
        <w:topLinePunct w:val="0"/>
        <w:autoSpaceDE/>
        <w:autoSpaceDN/>
        <w:bidi w:val="0"/>
        <w:adjustRightInd/>
        <w:snapToGrid w:val="0"/>
        <w:spacing w:line="560" w:lineRule="exact"/>
        <w:ind w:firstLine="616" w:firstLineChars="200"/>
        <w:textAlignment w:val="auto"/>
        <w:rPr>
          <w:rFonts w:hint="default" w:ascii="Times New Roman" w:hAnsi="Times New Roman" w:cs="Times New Roman"/>
          <w:highlight w:val="none"/>
        </w:rPr>
      </w:pPr>
      <w:r>
        <w:rPr>
          <w:rFonts w:hint="default" w:ascii="仿宋_GB2312" w:hAnsi="宋体" w:eastAsia="仿宋_GB2312" w:cs="宋体"/>
          <w:spacing w:val="-6"/>
          <w:kern w:val="0"/>
          <w:sz w:val="32"/>
          <w:szCs w:val="32"/>
          <w:u w:val="none" w:color="000000"/>
          <w:shd w:val="clear" w:color="auto" w:fill="FFFFFF"/>
          <w:lang w:val="en-US" w:eastAsia="zh-CN" w:bidi="ar-SA"/>
        </w:rPr>
        <w:t>项目实施情况：</w:t>
      </w:r>
      <w:r>
        <w:rPr>
          <w:rFonts w:hint="eastAsia" w:ascii="仿宋_GB2312" w:hAnsi="宋体" w:eastAsia="仿宋_GB2312" w:cs="宋体"/>
          <w:spacing w:val="-6"/>
          <w:kern w:val="0"/>
          <w:sz w:val="32"/>
          <w:szCs w:val="32"/>
          <w:u w:val="none" w:color="000000"/>
          <w:shd w:val="clear" w:color="auto" w:fill="FFFFFF"/>
          <w:lang w:val="en-US" w:eastAsia="zh-CN" w:bidi="ar-SA"/>
        </w:rPr>
        <w:t>为人民健康医疗与预防保健服务，常见病多发病的治疗和护理；预防保健。提供以预防保健、基本医疗、公共卫生、健康教育、JHSY、全民健康体检、康复等为主要内容的综合性服务。保障部门单位人员发放工资福利支出 用于开展医疗服务及其他活动中发生的编外人员人员工资、社会保障费、卫生材料费、维修维护费、办公费、水电暖、交通费等费用</w:t>
      </w:r>
      <w:r>
        <w:rPr>
          <w:rFonts w:hint="eastAsia" w:ascii="宋体" w:hAnsi="宋体" w:eastAsia="宋体" w:cs="宋体"/>
          <w:i w:val="0"/>
          <w:iCs w:val="0"/>
          <w:caps w:val="0"/>
          <w:color w:val="333333"/>
          <w:spacing w:val="0"/>
          <w:sz w:val="28"/>
          <w:szCs w:val="28"/>
          <w:shd w:val="clear" w:fill="FFFFFF"/>
        </w:rPr>
        <w:t>。</w:t>
      </w:r>
    </w:p>
    <w:p>
      <w:pPr>
        <w:spacing w:line="560" w:lineRule="exact"/>
        <w:ind w:firstLine="643" w:firstLineChars="200"/>
        <w:rPr>
          <w:rFonts w:hint="default" w:ascii="Times New Roman" w:hAnsi="Times New Roman" w:eastAsia="仿宋_GB2312" w:cs="Times New Roman"/>
          <w:b/>
          <w:bCs/>
          <w:sz w:val="32"/>
          <w:szCs w:val="32"/>
          <w:highlight w:val="none"/>
        </w:rPr>
      </w:pPr>
      <w:r>
        <w:rPr>
          <w:rFonts w:hint="default" w:ascii="Times New Roman" w:hAnsi="Times New Roman" w:eastAsia="仿宋_GB2312" w:cs="Times New Roman"/>
          <w:b/>
          <w:bCs/>
          <w:sz w:val="32"/>
          <w:szCs w:val="32"/>
          <w:highlight w:val="none"/>
        </w:rPr>
        <w:t>3</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bCs/>
          <w:sz w:val="32"/>
          <w:szCs w:val="32"/>
          <w:highlight w:val="none"/>
        </w:rPr>
        <w:t>资金投入和使用情况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w:t>
      </w:r>
      <w:r>
        <w:rPr>
          <w:rFonts w:hint="eastAsia" w:eastAsia="仿宋_GB2312" w:cs="Times New Roman"/>
          <w:sz w:val="32"/>
          <w:szCs w:val="32"/>
          <w:highlight w:val="none"/>
          <w:lang w:val="en-US" w:eastAsia="zh-CN"/>
        </w:rPr>
        <w:t>4.5</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4.5</w:t>
      </w:r>
      <w:r>
        <w:rPr>
          <w:rFonts w:hint="default" w:ascii="Times New Roman" w:hAnsi="Times New Roman" w:eastAsia="仿宋_GB2312" w:cs="Times New Roman"/>
          <w:sz w:val="32"/>
          <w:szCs w:val="32"/>
          <w:highlight w:val="none"/>
          <w:lang w:val="en-US" w:eastAsia="zh-CN"/>
        </w:rPr>
        <w:t>万元，该项目资金已全部落实到位，资金来源</w:t>
      </w:r>
      <w:r>
        <w:rPr>
          <w:rFonts w:hint="default" w:ascii="Times New Roman" w:hAnsi="Times New Roman" w:eastAsia="仿宋_GB2312" w:cs="Times New Roman"/>
          <w:color w:val="auto"/>
          <w:sz w:val="32"/>
          <w:szCs w:val="32"/>
          <w:highlight w:val="none"/>
          <w:lang w:val="en-US" w:eastAsia="zh-CN"/>
        </w:rPr>
        <w:t>为</w:t>
      </w:r>
      <w:r>
        <w:rPr>
          <w:rFonts w:hint="eastAsia" w:eastAsia="仿宋_GB2312" w:cs="Times New Roman"/>
          <w:color w:val="auto"/>
          <w:sz w:val="32"/>
          <w:szCs w:val="32"/>
          <w:highlight w:val="none"/>
          <w:lang w:val="en-US" w:eastAsia="zh-CN"/>
        </w:rPr>
        <w:t>其他资金收入</w:t>
      </w:r>
      <w:r>
        <w:rPr>
          <w:rFonts w:hint="default" w:ascii="Times New Roman" w:hAnsi="Times New Roman" w:eastAsia="仿宋_GB2312" w:cs="Times New Roman"/>
          <w:sz w:val="32"/>
          <w:szCs w:val="32"/>
          <w:highlight w:val="none"/>
          <w:lang w:val="en-US"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（2）资金使用情况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4.5</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4.5</w:t>
      </w:r>
      <w:r>
        <w:rPr>
          <w:rFonts w:hint="default" w:ascii="Times New Roman" w:hAnsi="Times New Roman" w:eastAsia="仿宋_GB2312" w:cs="Times New Roman"/>
          <w:sz w:val="32"/>
          <w:szCs w:val="32"/>
          <w:highlight w:val="none"/>
          <w:lang w:val="en-US" w:eastAsia="zh-CN"/>
        </w:rPr>
        <w:t>万元</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全年执行数</w:t>
      </w:r>
      <w:r>
        <w:rPr>
          <w:rFonts w:hint="eastAsia" w:eastAsia="仿宋_GB2312" w:cs="Times New Roman"/>
          <w:sz w:val="32"/>
          <w:szCs w:val="32"/>
          <w:highlight w:val="none"/>
          <w:lang w:val="en-US" w:eastAsia="zh-CN"/>
        </w:rPr>
        <w:t>4.5</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%，主要用于：</w:t>
      </w:r>
      <w:r>
        <w:rPr>
          <w:rFonts w:hint="eastAsia" w:ascii="Times New Roman" w:hAnsi="Times New Roman" w:eastAsia="仿宋_GB2312" w:cs="Times New Roman"/>
          <w:sz w:val="32"/>
          <w:szCs w:val="32"/>
          <w:highlight w:val="none"/>
          <w:lang w:val="en-US" w:eastAsia="zh-CN"/>
        </w:rPr>
        <w:t>用于开展医疗服务及其他活动中发生的编外人员人员工资、社会保障费、卫生材料费、维修维护费、办公费、水电暖、交通费等费用。</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pPr>
        <w:shd w:val="clea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eastAsia" w:ascii="仿宋_GB2312" w:eastAsia="仿宋_GB2312"/>
          <w:spacing w:val="-6"/>
          <w:sz w:val="32"/>
          <w:szCs w:val="32"/>
          <w:u w:val="none" w:color="000000"/>
          <w:shd w:val="clear" w:color="auto" w:fill="FFFFFF"/>
          <w:lang w:val="en-US" w:eastAsia="zh-CN"/>
        </w:rPr>
      </w:pPr>
      <w:r>
        <w:rPr>
          <w:rFonts w:hint="eastAsia" w:ascii="仿宋_GB2312" w:eastAsia="仿宋_GB2312"/>
          <w:spacing w:val="-6"/>
          <w:sz w:val="32"/>
          <w:szCs w:val="32"/>
          <w:u w:val="none" w:color="000000"/>
          <w:shd w:val="clear" w:color="auto" w:fill="FFFFFF"/>
          <w:lang w:val="en-US" w:eastAsia="zh-CN"/>
        </w:rPr>
        <w:t>为人民健康医疗与预防保健服务，常见病多发病的治疗和护理；预防保健。提供以预防保健、基本医疗、公共卫生、健康教育、JHSY、全民健康体检、康复等为主要内容的综合性服务。保障部门单位人员发放工资福利支出 用于开展医疗服务及其他活动中发生的编外人员人员工资、社会保障费、卫生材料费、维修维护费、办公费、水电暖、交通费等费用。</w:t>
      </w:r>
    </w:p>
    <w:p>
      <w:pPr>
        <w:numPr>
          <w:ilvl w:val="0"/>
          <w:numId w:val="0"/>
        </w:numPr>
        <w:shd w:val="clear"/>
        <w:spacing w:line="560" w:lineRule="exact"/>
        <w:ind w:firstLine="640" w:firstLineChars="200"/>
        <w:rPr>
          <w:rFonts w:hint="default" w:ascii="Times New Roman" w:hAnsi="Times New Roman" w:eastAsia="仿宋_GB2312" w:cs="Times New Roman"/>
          <w:sz w:val="32"/>
          <w:szCs w:val="32"/>
          <w:highlight w:val="none"/>
        </w:rPr>
      </w:pPr>
      <w:r>
        <w:rPr>
          <w:rFonts w:hint="eastAsia" w:eastAsia="仿宋_GB2312" w:cs="Times New Roman"/>
          <w:sz w:val="32"/>
          <w:szCs w:val="32"/>
          <w:highlight w:val="none"/>
          <w:lang w:val="en-US" w:eastAsia="zh-CN"/>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highlight w:val="none"/>
        </w:rPr>
        <w:t>阶段性目标</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eastAsia" w:ascii="仿宋_GB2312" w:eastAsia="仿宋_GB2312"/>
          <w:spacing w:val="-6"/>
          <w:sz w:val="32"/>
          <w:szCs w:val="32"/>
          <w:u w:val="none" w:color="000000"/>
          <w:shd w:val="clear" w:color="auto" w:fill="FFFFFF"/>
          <w:lang w:val="en-US" w:eastAsia="zh-CN"/>
        </w:rPr>
      </w:pPr>
      <w:r>
        <w:rPr>
          <w:rFonts w:hint="eastAsia" w:ascii="仿宋_GB2312" w:eastAsia="仿宋_GB2312"/>
          <w:spacing w:val="-6"/>
          <w:sz w:val="32"/>
          <w:szCs w:val="32"/>
          <w:u w:val="none" w:color="000000"/>
          <w:shd w:val="clear" w:color="auto" w:fill="FFFFFF"/>
          <w:lang w:val="en-US" w:eastAsia="zh-CN"/>
        </w:rPr>
        <w:t>上半年</w:t>
      </w:r>
      <w:r>
        <w:rPr>
          <w:rFonts w:hint="eastAsia" w:ascii="仿宋_GB2312" w:eastAsia="仿宋_GB2312"/>
          <w:spacing w:val="-6"/>
          <w:sz w:val="32"/>
          <w:szCs w:val="32"/>
          <w:u w:val="none" w:color="000000"/>
          <w:shd w:val="clear" w:color="auto" w:fill="FFFFFF"/>
          <w:lang w:eastAsia="zh-CN"/>
        </w:rPr>
        <w:t>工作完成情况</w:t>
      </w:r>
      <w:r>
        <w:rPr>
          <w:rFonts w:hint="eastAsia" w:ascii="仿宋_GB2312" w:eastAsia="仿宋_GB2312"/>
          <w:spacing w:val="-6"/>
          <w:sz w:val="32"/>
          <w:szCs w:val="32"/>
          <w:u w:val="none" w:color="000000"/>
          <w:shd w:val="clear" w:color="auto" w:fill="FFFFFF"/>
          <w:lang w:val="en-US" w:eastAsia="zh-CN"/>
        </w:rPr>
        <w:t>：</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eastAsia" w:ascii="仿宋_GB2312" w:eastAsia="仿宋_GB2312"/>
          <w:spacing w:val="-6"/>
          <w:sz w:val="32"/>
          <w:szCs w:val="32"/>
          <w:u w:val="none" w:color="000000"/>
          <w:shd w:val="clear" w:color="auto" w:fill="FFFFFF"/>
          <w:lang w:eastAsia="zh-CN"/>
        </w:rPr>
      </w:pPr>
      <w:r>
        <w:rPr>
          <w:rFonts w:hint="eastAsia" w:ascii="仿宋_GB2312" w:eastAsia="仿宋_GB2312"/>
          <w:spacing w:val="-6"/>
          <w:sz w:val="32"/>
          <w:szCs w:val="32"/>
          <w:u w:val="none" w:color="000000"/>
          <w:shd w:val="clear" w:color="auto" w:fill="FFFFFF"/>
          <w:lang w:val="en-US" w:eastAsia="zh-CN"/>
        </w:rPr>
        <w:t>1、编外</w:t>
      </w:r>
      <w:r>
        <w:rPr>
          <w:rFonts w:hint="eastAsia" w:ascii="仿宋_GB2312" w:eastAsia="仿宋_GB2312"/>
          <w:spacing w:val="-6"/>
          <w:sz w:val="32"/>
          <w:szCs w:val="32"/>
          <w:u w:val="none" w:color="000000"/>
          <w:shd w:val="clear" w:color="auto" w:fill="FFFFFF"/>
        </w:rPr>
        <w:t>人员工资发放支出标准截至202</w:t>
      </w:r>
      <w:r>
        <w:rPr>
          <w:rFonts w:hint="eastAsia" w:ascii="仿宋_GB2312" w:eastAsia="仿宋_GB2312"/>
          <w:spacing w:val="-6"/>
          <w:sz w:val="32"/>
          <w:szCs w:val="32"/>
          <w:u w:val="none" w:color="000000"/>
          <w:shd w:val="clear" w:color="auto" w:fill="FFFFFF"/>
          <w:lang w:val="en-US" w:eastAsia="zh-CN"/>
        </w:rPr>
        <w:t>4</w:t>
      </w:r>
      <w:r>
        <w:rPr>
          <w:rFonts w:hint="eastAsia" w:ascii="仿宋_GB2312" w:eastAsia="仿宋_GB2312"/>
          <w:spacing w:val="-6"/>
          <w:sz w:val="32"/>
          <w:szCs w:val="32"/>
          <w:u w:val="none" w:color="000000"/>
          <w:shd w:val="clear" w:color="auto" w:fill="FFFFFF"/>
        </w:rPr>
        <w:t>年</w:t>
      </w:r>
      <w:r>
        <w:rPr>
          <w:rFonts w:hint="eastAsia" w:ascii="仿宋_GB2312" w:eastAsia="仿宋_GB2312"/>
          <w:spacing w:val="-6"/>
          <w:sz w:val="32"/>
          <w:szCs w:val="32"/>
          <w:u w:val="none" w:color="000000"/>
          <w:shd w:val="clear" w:color="auto" w:fill="FFFFFF"/>
          <w:lang w:val="en-US" w:eastAsia="zh-CN"/>
        </w:rPr>
        <w:t>5</w:t>
      </w:r>
      <w:r>
        <w:rPr>
          <w:rFonts w:hint="eastAsia" w:ascii="仿宋_GB2312" w:eastAsia="仿宋_GB2312"/>
          <w:spacing w:val="-6"/>
          <w:sz w:val="32"/>
          <w:szCs w:val="32"/>
          <w:u w:val="none" w:color="000000"/>
          <w:shd w:val="clear" w:color="auto" w:fill="FFFFFF"/>
        </w:rPr>
        <w:t>月</w:t>
      </w:r>
      <w:r>
        <w:rPr>
          <w:rFonts w:hint="eastAsia" w:ascii="仿宋_GB2312" w:eastAsia="仿宋_GB2312"/>
          <w:spacing w:val="-6"/>
          <w:sz w:val="32"/>
          <w:szCs w:val="32"/>
          <w:u w:val="none" w:color="000000"/>
          <w:shd w:val="clear" w:color="auto" w:fill="FFFFFF"/>
          <w:lang w:val="en-US" w:eastAsia="zh-CN"/>
        </w:rPr>
        <w:t>指标完成值2.45万元/年,完成率81.67%</w:t>
      </w:r>
      <w:r>
        <w:rPr>
          <w:rFonts w:hint="eastAsia" w:ascii="仿宋_GB2312" w:eastAsia="仿宋_GB2312"/>
          <w:spacing w:val="-6"/>
          <w:sz w:val="32"/>
          <w:szCs w:val="32"/>
          <w:u w:val="none" w:color="000000"/>
          <w:shd w:val="clear" w:color="auto" w:fill="FFFFFF"/>
        </w:rPr>
        <w:t>，</w:t>
      </w:r>
      <w:r>
        <w:rPr>
          <w:rFonts w:hint="eastAsia" w:ascii="仿宋_GB2312" w:eastAsia="仿宋_GB2312"/>
          <w:spacing w:val="-6"/>
          <w:sz w:val="32"/>
          <w:szCs w:val="32"/>
          <w:u w:val="none" w:color="000000"/>
          <w:shd w:val="clear" w:color="auto" w:fill="FFFFFF"/>
          <w:lang w:eastAsia="zh-CN"/>
        </w:rPr>
        <w:t>已完成</w:t>
      </w:r>
      <w:r>
        <w:rPr>
          <w:rFonts w:hint="eastAsia" w:ascii="仿宋_GB2312" w:eastAsia="仿宋_GB2312"/>
          <w:spacing w:val="-6"/>
          <w:sz w:val="32"/>
          <w:szCs w:val="32"/>
          <w:u w:val="none" w:color="000000"/>
          <w:shd w:val="clear" w:color="auto" w:fill="FFFFFF"/>
          <w:lang w:val="en-US" w:eastAsia="zh-CN"/>
        </w:rPr>
        <w:t>目标值</w:t>
      </w:r>
      <w:r>
        <w:rPr>
          <w:rFonts w:hint="eastAsia" w:ascii="仿宋_GB2312" w:eastAsia="仿宋_GB2312"/>
          <w:spacing w:val="-6"/>
          <w:sz w:val="32"/>
          <w:szCs w:val="32"/>
          <w:u w:val="none" w:color="000000"/>
          <w:shd w:val="clear" w:color="auto" w:fill="FFFFFF"/>
          <w:lang w:eastAsia="zh-CN"/>
        </w:rPr>
        <w:t>；</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eastAsia" w:ascii="仿宋_GB2312" w:eastAsia="仿宋_GB2312"/>
          <w:spacing w:val="-6"/>
          <w:sz w:val="32"/>
          <w:szCs w:val="32"/>
          <w:u w:val="none" w:color="000000"/>
          <w:shd w:val="clear" w:color="auto" w:fill="FFFFFF"/>
          <w:lang w:eastAsia="zh-CN"/>
        </w:rPr>
      </w:pPr>
      <w:r>
        <w:rPr>
          <w:rFonts w:hint="eastAsia" w:ascii="仿宋_GB2312" w:eastAsia="仿宋_GB2312"/>
          <w:spacing w:val="-6"/>
          <w:sz w:val="32"/>
          <w:szCs w:val="32"/>
          <w:u w:val="none" w:color="000000"/>
          <w:shd w:val="clear" w:color="auto" w:fill="FFFFFF"/>
          <w:lang w:val="en-US" w:eastAsia="zh-CN"/>
        </w:rPr>
        <w:t>2、日常办公运转经费截</w:t>
      </w:r>
      <w:r>
        <w:rPr>
          <w:rFonts w:hint="eastAsia" w:ascii="仿宋_GB2312" w:eastAsia="仿宋_GB2312"/>
          <w:spacing w:val="-6"/>
          <w:sz w:val="32"/>
          <w:szCs w:val="32"/>
          <w:u w:val="none" w:color="000000"/>
          <w:shd w:val="clear" w:color="auto" w:fill="FFFFFF"/>
        </w:rPr>
        <w:t>至202</w:t>
      </w:r>
      <w:r>
        <w:rPr>
          <w:rFonts w:hint="eastAsia" w:ascii="仿宋_GB2312" w:eastAsia="仿宋_GB2312"/>
          <w:spacing w:val="-6"/>
          <w:sz w:val="32"/>
          <w:szCs w:val="32"/>
          <w:u w:val="none" w:color="000000"/>
          <w:shd w:val="clear" w:color="auto" w:fill="FFFFFF"/>
          <w:lang w:val="en-US" w:eastAsia="zh-CN"/>
        </w:rPr>
        <w:t>4</w:t>
      </w:r>
      <w:r>
        <w:rPr>
          <w:rFonts w:hint="eastAsia" w:ascii="仿宋_GB2312" w:eastAsia="仿宋_GB2312"/>
          <w:spacing w:val="-6"/>
          <w:sz w:val="32"/>
          <w:szCs w:val="32"/>
          <w:u w:val="none" w:color="000000"/>
          <w:shd w:val="clear" w:color="auto" w:fill="FFFFFF"/>
        </w:rPr>
        <w:t>年</w:t>
      </w:r>
      <w:r>
        <w:rPr>
          <w:rFonts w:hint="eastAsia" w:ascii="仿宋_GB2312" w:eastAsia="仿宋_GB2312"/>
          <w:spacing w:val="-6"/>
          <w:sz w:val="32"/>
          <w:szCs w:val="32"/>
          <w:u w:val="none" w:color="000000"/>
          <w:shd w:val="clear" w:color="auto" w:fill="FFFFFF"/>
          <w:lang w:val="en-US" w:eastAsia="zh-CN"/>
        </w:rPr>
        <w:t>5</w:t>
      </w:r>
      <w:r>
        <w:rPr>
          <w:rFonts w:hint="eastAsia" w:ascii="仿宋_GB2312" w:eastAsia="仿宋_GB2312"/>
          <w:spacing w:val="-6"/>
          <w:sz w:val="32"/>
          <w:szCs w:val="32"/>
          <w:u w:val="none" w:color="000000"/>
          <w:shd w:val="clear" w:color="auto" w:fill="FFFFFF"/>
        </w:rPr>
        <w:t>月</w:t>
      </w:r>
      <w:r>
        <w:rPr>
          <w:rFonts w:hint="eastAsia" w:ascii="仿宋_GB2312" w:eastAsia="仿宋_GB2312"/>
          <w:spacing w:val="-6"/>
          <w:sz w:val="32"/>
          <w:szCs w:val="32"/>
          <w:u w:val="none" w:color="000000"/>
          <w:shd w:val="clear" w:color="auto" w:fill="FFFFFF"/>
          <w:lang w:val="en-US" w:eastAsia="zh-CN"/>
        </w:rPr>
        <w:t>指标完成1.27万元/年,完成率84.66%</w:t>
      </w:r>
      <w:r>
        <w:rPr>
          <w:rFonts w:hint="eastAsia" w:ascii="仿宋_GB2312" w:eastAsia="仿宋_GB2312"/>
          <w:spacing w:val="-6"/>
          <w:sz w:val="32"/>
          <w:szCs w:val="32"/>
          <w:u w:val="none" w:color="000000"/>
          <w:shd w:val="clear" w:color="auto" w:fill="FFFFFF"/>
        </w:rPr>
        <w:t>，</w:t>
      </w:r>
      <w:r>
        <w:rPr>
          <w:rFonts w:hint="eastAsia" w:ascii="仿宋_GB2312" w:eastAsia="仿宋_GB2312"/>
          <w:spacing w:val="-6"/>
          <w:sz w:val="32"/>
          <w:szCs w:val="32"/>
          <w:u w:val="none" w:color="000000"/>
          <w:shd w:val="clear" w:color="auto" w:fill="FFFFFF"/>
          <w:lang w:eastAsia="zh-CN"/>
        </w:rPr>
        <w:t>已完成</w:t>
      </w:r>
      <w:r>
        <w:rPr>
          <w:rFonts w:hint="eastAsia" w:ascii="仿宋_GB2312" w:eastAsia="仿宋_GB2312"/>
          <w:spacing w:val="-6"/>
          <w:sz w:val="32"/>
          <w:szCs w:val="32"/>
          <w:u w:val="none" w:color="000000"/>
          <w:shd w:val="clear" w:color="auto" w:fill="FFFFFF"/>
          <w:lang w:val="en-US" w:eastAsia="zh-CN"/>
        </w:rPr>
        <w:t>目标值</w:t>
      </w:r>
      <w:r>
        <w:rPr>
          <w:rFonts w:hint="eastAsia" w:ascii="仿宋_GB2312" w:eastAsia="仿宋_GB2312"/>
          <w:spacing w:val="-6"/>
          <w:sz w:val="32"/>
          <w:szCs w:val="32"/>
          <w:u w:val="none" w:color="000000"/>
          <w:shd w:val="clear" w:color="auto" w:fill="FFFFFF"/>
          <w:lang w:eastAsia="zh-CN"/>
        </w:rPr>
        <w:t>；</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eastAsia" w:ascii="仿宋_GB2312" w:eastAsia="仿宋_GB2312"/>
          <w:spacing w:val="-6"/>
          <w:sz w:val="32"/>
          <w:szCs w:val="32"/>
          <w:u w:val="none" w:color="000000"/>
          <w:shd w:val="clear" w:color="auto" w:fill="FFFFFF"/>
          <w:lang w:eastAsia="zh-CN"/>
        </w:rPr>
      </w:pPr>
      <w:r>
        <w:rPr>
          <w:rFonts w:hint="eastAsia" w:ascii="仿宋_GB2312" w:eastAsia="仿宋_GB2312"/>
          <w:spacing w:val="-6"/>
          <w:sz w:val="32"/>
          <w:szCs w:val="32"/>
          <w:u w:val="none" w:color="000000"/>
          <w:shd w:val="clear" w:color="auto" w:fill="FFFFFF"/>
          <w:lang w:val="en-US" w:eastAsia="zh-CN"/>
        </w:rPr>
        <w:t>3、编外人员工资发放及时率预期指标值100%，实际完成值100%完成率41.67%。已按序时进度正常开展所涉及的工作。</w:t>
      </w:r>
    </w:p>
    <w:p>
      <w:pPr>
        <w:shd w:val="clear"/>
        <w:spacing w:line="600" w:lineRule="exact"/>
        <w:ind w:firstLine="640" w:firstLineChars="200"/>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下半年工作完成情况：</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eastAsia" w:ascii="仿宋_GB2312" w:eastAsia="仿宋_GB2312"/>
          <w:spacing w:val="-6"/>
          <w:sz w:val="32"/>
          <w:szCs w:val="32"/>
          <w:u w:val="none" w:color="000000"/>
          <w:shd w:val="clear" w:color="auto" w:fill="FFFFFF"/>
          <w:lang w:eastAsia="zh-CN"/>
        </w:rPr>
      </w:pPr>
      <w:r>
        <w:rPr>
          <w:rFonts w:hint="eastAsia" w:ascii="仿宋_GB2312" w:eastAsia="仿宋_GB2312"/>
          <w:spacing w:val="-6"/>
          <w:sz w:val="32"/>
          <w:szCs w:val="32"/>
          <w:u w:val="none" w:color="000000"/>
          <w:shd w:val="clear" w:color="auto" w:fill="FFFFFF"/>
          <w:lang w:val="en-US" w:eastAsia="zh-CN"/>
        </w:rPr>
        <w:t>1、编外</w:t>
      </w:r>
      <w:r>
        <w:rPr>
          <w:rFonts w:hint="eastAsia" w:ascii="仿宋_GB2312" w:eastAsia="仿宋_GB2312"/>
          <w:spacing w:val="-6"/>
          <w:sz w:val="32"/>
          <w:szCs w:val="32"/>
          <w:u w:val="none" w:color="000000"/>
          <w:shd w:val="clear" w:color="auto" w:fill="FFFFFF"/>
        </w:rPr>
        <w:t>人员工资发放支出标准截至202</w:t>
      </w:r>
      <w:r>
        <w:rPr>
          <w:rFonts w:hint="eastAsia" w:ascii="仿宋_GB2312" w:eastAsia="仿宋_GB2312"/>
          <w:spacing w:val="-6"/>
          <w:sz w:val="32"/>
          <w:szCs w:val="32"/>
          <w:u w:val="none" w:color="000000"/>
          <w:shd w:val="clear" w:color="auto" w:fill="FFFFFF"/>
          <w:lang w:val="en-US" w:eastAsia="zh-CN"/>
        </w:rPr>
        <w:t>4</w:t>
      </w:r>
      <w:r>
        <w:rPr>
          <w:rFonts w:hint="eastAsia" w:ascii="仿宋_GB2312" w:eastAsia="仿宋_GB2312"/>
          <w:spacing w:val="-6"/>
          <w:sz w:val="32"/>
          <w:szCs w:val="32"/>
          <w:u w:val="none" w:color="000000"/>
          <w:shd w:val="clear" w:color="auto" w:fill="FFFFFF"/>
        </w:rPr>
        <w:t>年</w:t>
      </w:r>
      <w:r>
        <w:rPr>
          <w:rFonts w:hint="eastAsia" w:ascii="仿宋_GB2312" w:eastAsia="仿宋_GB2312"/>
          <w:spacing w:val="-6"/>
          <w:sz w:val="32"/>
          <w:szCs w:val="32"/>
          <w:u w:val="none" w:color="000000"/>
          <w:shd w:val="clear" w:color="auto" w:fill="FFFFFF"/>
          <w:lang w:val="en-US" w:eastAsia="zh-CN"/>
        </w:rPr>
        <w:t>8</w:t>
      </w:r>
      <w:r>
        <w:rPr>
          <w:rFonts w:hint="eastAsia" w:ascii="仿宋_GB2312" w:eastAsia="仿宋_GB2312"/>
          <w:spacing w:val="-6"/>
          <w:sz w:val="32"/>
          <w:szCs w:val="32"/>
          <w:u w:val="none" w:color="000000"/>
          <w:shd w:val="clear" w:color="auto" w:fill="FFFFFF"/>
        </w:rPr>
        <w:t>月</w:t>
      </w:r>
      <w:r>
        <w:rPr>
          <w:rFonts w:hint="eastAsia" w:ascii="仿宋_GB2312" w:eastAsia="仿宋_GB2312"/>
          <w:spacing w:val="-6"/>
          <w:sz w:val="32"/>
          <w:szCs w:val="32"/>
          <w:u w:val="none" w:color="000000"/>
          <w:shd w:val="clear" w:color="auto" w:fill="FFFFFF"/>
          <w:lang w:val="en-US" w:eastAsia="zh-CN"/>
        </w:rPr>
        <w:t>指标完成值2.45万元/年,完成率78.33%</w:t>
      </w:r>
      <w:r>
        <w:rPr>
          <w:rFonts w:hint="eastAsia" w:ascii="仿宋_GB2312" w:eastAsia="仿宋_GB2312"/>
          <w:spacing w:val="-6"/>
          <w:sz w:val="32"/>
          <w:szCs w:val="32"/>
          <w:u w:val="none" w:color="000000"/>
          <w:shd w:val="clear" w:color="auto" w:fill="FFFFFF"/>
        </w:rPr>
        <w:t>，</w:t>
      </w:r>
      <w:r>
        <w:rPr>
          <w:rFonts w:hint="eastAsia" w:ascii="仿宋_GB2312" w:eastAsia="仿宋_GB2312"/>
          <w:spacing w:val="-6"/>
          <w:sz w:val="32"/>
          <w:szCs w:val="32"/>
          <w:u w:val="none" w:color="000000"/>
          <w:shd w:val="clear" w:color="auto" w:fill="FFFFFF"/>
          <w:lang w:eastAsia="zh-CN"/>
        </w:rPr>
        <w:t>已完成</w:t>
      </w:r>
      <w:r>
        <w:rPr>
          <w:rFonts w:hint="eastAsia" w:ascii="仿宋_GB2312" w:eastAsia="仿宋_GB2312"/>
          <w:spacing w:val="-6"/>
          <w:sz w:val="32"/>
          <w:szCs w:val="32"/>
          <w:u w:val="none" w:color="000000"/>
          <w:shd w:val="clear" w:color="auto" w:fill="FFFFFF"/>
          <w:lang w:val="en-US" w:eastAsia="zh-CN"/>
        </w:rPr>
        <w:t>目标值</w:t>
      </w:r>
      <w:r>
        <w:rPr>
          <w:rFonts w:hint="eastAsia" w:ascii="仿宋_GB2312" w:eastAsia="仿宋_GB2312"/>
          <w:spacing w:val="-6"/>
          <w:sz w:val="32"/>
          <w:szCs w:val="32"/>
          <w:u w:val="none" w:color="000000"/>
          <w:shd w:val="clear" w:color="auto" w:fill="FFFFFF"/>
          <w:lang w:eastAsia="zh-CN"/>
        </w:rPr>
        <w:t>；</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eastAsia" w:ascii="仿宋_GB2312" w:eastAsia="仿宋_GB2312"/>
          <w:spacing w:val="-6"/>
          <w:sz w:val="32"/>
          <w:szCs w:val="32"/>
          <w:u w:val="none" w:color="000000"/>
          <w:shd w:val="clear" w:color="auto" w:fill="FFFFFF"/>
          <w:lang w:eastAsia="zh-CN"/>
        </w:rPr>
      </w:pPr>
      <w:r>
        <w:rPr>
          <w:rFonts w:hint="eastAsia" w:ascii="仿宋_GB2312" w:eastAsia="仿宋_GB2312"/>
          <w:spacing w:val="-6"/>
          <w:sz w:val="32"/>
          <w:szCs w:val="32"/>
          <w:u w:val="none" w:color="000000"/>
          <w:shd w:val="clear" w:color="auto" w:fill="FFFFFF"/>
          <w:lang w:val="en-US" w:eastAsia="zh-CN"/>
        </w:rPr>
        <w:t>2、日常办公运转经费截</w:t>
      </w:r>
      <w:r>
        <w:rPr>
          <w:rFonts w:hint="eastAsia" w:ascii="仿宋_GB2312" w:eastAsia="仿宋_GB2312"/>
          <w:spacing w:val="-6"/>
          <w:sz w:val="32"/>
          <w:szCs w:val="32"/>
          <w:u w:val="none" w:color="000000"/>
          <w:shd w:val="clear" w:color="auto" w:fill="FFFFFF"/>
        </w:rPr>
        <w:t>至202</w:t>
      </w:r>
      <w:r>
        <w:rPr>
          <w:rFonts w:hint="eastAsia" w:ascii="仿宋_GB2312" w:eastAsia="仿宋_GB2312"/>
          <w:spacing w:val="-6"/>
          <w:sz w:val="32"/>
          <w:szCs w:val="32"/>
          <w:u w:val="none" w:color="000000"/>
          <w:shd w:val="clear" w:color="auto" w:fill="FFFFFF"/>
          <w:lang w:val="en-US" w:eastAsia="zh-CN"/>
        </w:rPr>
        <w:t>4</w:t>
      </w:r>
      <w:r>
        <w:rPr>
          <w:rFonts w:hint="eastAsia" w:ascii="仿宋_GB2312" w:eastAsia="仿宋_GB2312"/>
          <w:spacing w:val="-6"/>
          <w:sz w:val="32"/>
          <w:szCs w:val="32"/>
          <w:u w:val="none" w:color="000000"/>
          <w:shd w:val="clear" w:color="auto" w:fill="FFFFFF"/>
        </w:rPr>
        <w:t>年</w:t>
      </w:r>
      <w:r>
        <w:rPr>
          <w:rFonts w:hint="eastAsia" w:ascii="仿宋_GB2312" w:eastAsia="仿宋_GB2312"/>
          <w:spacing w:val="-6"/>
          <w:sz w:val="32"/>
          <w:szCs w:val="32"/>
          <w:u w:val="none" w:color="000000"/>
          <w:shd w:val="clear" w:color="auto" w:fill="FFFFFF"/>
          <w:lang w:val="en-US" w:eastAsia="zh-CN"/>
        </w:rPr>
        <w:t>5</w:t>
      </w:r>
      <w:r>
        <w:rPr>
          <w:rFonts w:hint="eastAsia" w:ascii="仿宋_GB2312" w:eastAsia="仿宋_GB2312"/>
          <w:spacing w:val="-6"/>
          <w:sz w:val="32"/>
          <w:szCs w:val="32"/>
          <w:u w:val="none" w:color="000000"/>
          <w:shd w:val="clear" w:color="auto" w:fill="FFFFFF"/>
        </w:rPr>
        <w:t>月</w:t>
      </w:r>
      <w:r>
        <w:rPr>
          <w:rFonts w:hint="eastAsia" w:ascii="仿宋_GB2312" w:eastAsia="仿宋_GB2312"/>
          <w:spacing w:val="-6"/>
          <w:sz w:val="32"/>
          <w:szCs w:val="32"/>
          <w:u w:val="none" w:color="000000"/>
          <w:shd w:val="clear" w:color="auto" w:fill="FFFFFF"/>
          <w:lang w:val="en-US" w:eastAsia="zh-CN"/>
        </w:rPr>
        <w:t>指标完成值1.5万元/年,完成率100%</w:t>
      </w:r>
      <w:r>
        <w:rPr>
          <w:rFonts w:hint="eastAsia" w:ascii="仿宋_GB2312" w:eastAsia="仿宋_GB2312"/>
          <w:spacing w:val="-6"/>
          <w:sz w:val="32"/>
          <w:szCs w:val="32"/>
          <w:u w:val="none" w:color="000000"/>
          <w:shd w:val="clear" w:color="auto" w:fill="FFFFFF"/>
        </w:rPr>
        <w:t>，</w:t>
      </w:r>
      <w:r>
        <w:rPr>
          <w:rFonts w:hint="eastAsia" w:ascii="仿宋_GB2312" w:eastAsia="仿宋_GB2312"/>
          <w:spacing w:val="-6"/>
          <w:sz w:val="32"/>
          <w:szCs w:val="32"/>
          <w:u w:val="none" w:color="000000"/>
          <w:shd w:val="clear" w:color="auto" w:fill="FFFFFF"/>
          <w:lang w:eastAsia="zh-CN"/>
        </w:rPr>
        <w:t>已完成</w:t>
      </w:r>
      <w:r>
        <w:rPr>
          <w:rFonts w:hint="eastAsia" w:ascii="仿宋_GB2312" w:eastAsia="仿宋_GB2312"/>
          <w:spacing w:val="-6"/>
          <w:sz w:val="32"/>
          <w:szCs w:val="32"/>
          <w:u w:val="none" w:color="000000"/>
          <w:shd w:val="clear" w:color="auto" w:fill="FFFFFF"/>
          <w:lang w:val="en-US" w:eastAsia="zh-CN"/>
        </w:rPr>
        <w:t>目标值</w:t>
      </w:r>
      <w:r>
        <w:rPr>
          <w:rFonts w:hint="eastAsia" w:ascii="仿宋_GB2312" w:eastAsia="仿宋_GB2312"/>
          <w:spacing w:val="-6"/>
          <w:sz w:val="32"/>
          <w:szCs w:val="32"/>
          <w:u w:val="none" w:color="000000"/>
          <w:shd w:val="clear" w:color="auto" w:fill="FFFFFF"/>
          <w:lang w:eastAsia="zh-CN"/>
        </w:rPr>
        <w:t>；</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default"/>
        </w:rPr>
      </w:pPr>
      <w:r>
        <w:rPr>
          <w:rFonts w:hint="eastAsia" w:ascii="仿宋_GB2312" w:eastAsia="仿宋_GB2312"/>
          <w:spacing w:val="-6"/>
          <w:sz w:val="32"/>
          <w:szCs w:val="32"/>
          <w:u w:val="none" w:color="000000"/>
          <w:shd w:val="clear" w:color="auto" w:fill="FFFFFF"/>
          <w:lang w:val="en-US" w:eastAsia="zh-CN"/>
        </w:rPr>
        <w:t>3、编外人员工资发放及时率预期指标值100%，实际完成值100%完成率66.67%。已按序时进度正常开展所涉及的工作。</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pPr>
        <w:shd w:val="clea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pPr>
        <w:pStyle w:val="12"/>
        <w:widowControl w:val="0"/>
        <w:shd w:val="clea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val="en-US" w:eastAsia="zh-CN"/>
        </w:rPr>
        <w:t>1.绩效评价完整性</w:t>
      </w:r>
    </w:p>
    <w:p>
      <w:pPr>
        <w:shd w:val="clea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评价指标体系的构建上，充分考虑了项目的性质、目标以及预期成果，选取了具有代表性和可衡量性的关键指标，涵盖了社会效益等多个维度，力求全方位反映项目的绩效状况。同时，对于每个指标的评价标准和数据来源均进行了明确说明，确保评价结果的客观性和可追溯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数据收集与分析环节，采用了多种科学合理的方法，如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绩效评价的目的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（1）评估项目实施效果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通过对项目预算执行情况及各项绩效目标达成程度的系统性分析，全面、客观地评估项目在预定周期内的实施效果，包括社会效益以及可持续性等多维度指标，为项目后续的改进与优化提供科学依据。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（2）提升资源利用效率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（3）强化项目管理责任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（4）为决策提供支持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（5）促进项目持续改进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社会效益。</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val="en-US" w:eastAsia="zh-CN"/>
        </w:rPr>
        <w:t>3</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val="0"/>
          <w:bCs w:val="0"/>
          <w:highlight w:val="none"/>
        </w:rPr>
        <w:t>绩效评价的对象</w:t>
      </w:r>
    </w:p>
    <w:p>
      <w:pPr>
        <w:spacing w:line="540" w:lineRule="exact"/>
        <w:ind w:firstLine="640" w:firstLineChars="200"/>
        <w:jc w:val="left"/>
        <w:rPr>
          <w:rFonts w:hint="default" w:ascii="Times New Roman" w:hAnsi="Times New Roman" w:eastAsia="仿宋_GB2312" w:cs="Times New Roman"/>
          <w:b w:val="0"/>
          <w:bCs w:val="0"/>
          <w:highlight w:val="none"/>
          <w:lang w:val="en-US"/>
        </w:rPr>
      </w:pPr>
      <w:r>
        <w:rPr>
          <w:rFonts w:hint="default" w:ascii="Times New Roman" w:hAnsi="Times New Roman" w:eastAsia="仿宋_GB2312" w:cs="Times New Roman"/>
          <w:b w:val="0"/>
          <w:bCs w:val="0"/>
          <w:kern w:val="28"/>
          <w:sz w:val="32"/>
          <w:szCs w:val="32"/>
          <w:highlight w:val="none"/>
          <w:lang w:val="en-US" w:eastAsia="zh-CN" w:bidi="ar-SA"/>
        </w:rPr>
        <w:t>本项目预算绩效评价报告的评价对象是</w:t>
      </w:r>
      <w:r>
        <w:rPr>
          <w:rFonts w:hint="eastAsia" w:ascii="Times New Roman" w:hAnsi="Times New Roman" w:eastAsia="仿宋_GB2312" w:cs="Times New Roman"/>
          <w:b w:val="0"/>
          <w:bCs w:val="0"/>
          <w:kern w:val="28"/>
          <w:sz w:val="32"/>
          <w:szCs w:val="32"/>
          <w:highlight w:val="none"/>
          <w:lang w:val="en-US" w:eastAsia="zh-CN" w:bidi="ar-SA"/>
        </w:rPr>
        <w:t>2024年单位资金收入（事业收入）</w:t>
      </w:r>
      <w:r>
        <w:rPr>
          <w:rFonts w:hint="default" w:ascii="Times New Roman" w:hAnsi="Times New Roman" w:eastAsia="仿宋_GB2312" w:cs="Times New Roman"/>
          <w:b w:val="0"/>
          <w:bCs w:val="0"/>
          <w:kern w:val="28"/>
          <w:sz w:val="32"/>
          <w:szCs w:val="32"/>
          <w:highlight w:val="none"/>
          <w:lang w:val="en-US" w:eastAsia="zh-CN" w:bidi="ar-SA"/>
        </w:rPr>
        <w:t>项目及其预算执行情况。该项目由</w:t>
      </w:r>
      <w:r>
        <w:rPr>
          <w:rFonts w:hint="eastAsia" w:ascii="Times New Roman" w:hAnsi="Times New Roman" w:eastAsia="仿宋_GB2312" w:cs="Times New Roman"/>
          <w:b w:val="0"/>
          <w:bCs w:val="0"/>
          <w:kern w:val="28"/>
          <w:sz w:val="32"/>
          <w:szCs w:val="32"/>
          <w:highlight w:val="none"/>
          <w:lang w:val="en-US" w:eastAsia="zh-CN" w:bidi="ar-SA"/>
        </w:rPr>
        <w:t>特克斯县阔克苏</w:t>
      </w:r>
      <w:r>
        <w:rPr>
          <w:rFonts w:hint="eastAsia" w:eastAsia="仿宋_GB2312" w:cs="Times New Roman"/>
          <w:b w:val="0"/>
          <w:bCs w:val="0"/>
          <w:kern w:val="28"/>
          <w:sz w:val="32"/>
          <w:szCs w:val="32"/>
          <w:highlight w:val="none"/>
          <w:lang w:val="en-US" w:eastAsia="zh-CN" w:bidi="ar-SA"/>
        </w:rPr>
        <w:t>铁热克</w:t>
      </w:r>
      <w:r>
        <w:rPr>
          <w:rFonts w:hint="eastAsia" w:ascii="Times New Roman" w:hAnsi="Times New Roman" w:eastAsia="仿宋_GB2312" w:cs="Times New Roman"/>
          <w:b w:val="0"/>
          <w:bCs w:val="0"/>
          <w:kern w:val="28"/>
          <w:sz w:val="32"/>
          <w:szCs w:val="32"/>
          <w:highlight w:val="none"/>
          <w:lang w:val="en-US" w:eastAsia="zh-CN" w:bidi="ar-SA"/>
        </w:rPr>
        <w:t>乡卫生院</w:t>
      </w:r>
      <w:r>
        <w:rPr>
          <w:rFonts w:hint="default" w:ascii="Times New Roman" w:hAnsi="Times New Roman" w:eastAsia="仿宋_GB2312" w:cs="Times New Roman"/>
          <w:b w:val="0"/>
          <w:bCs w:val="0"/>
          <w:kern w:val="28"/>
          <w:sz w:val="32"/>
          <w:szCs w:val="32"/>
          <w:highlight w:val="none"/>
          <w:lang w:val="en-US" w:eastAsia="zh-CN" w:bidi="ar-SA"/>
        </w:rPr>
        <w:t>负责实施，</w:t>
      </w:r>
      <w:r>
        <w:rPr>
          <w:rFonts w:hint="eastAsia" w:eastAsia="仿宋_GB2312" w:cs="Times New Roman"/>
          <w:b w:val="0"/>
          <w:bCs w:val="0"/>
          <w:kern w:val="28"/>
          <w:sz w:val="32"/>
          <w:szCs w:val="32"/>
          <w:highlight w:val="none"/>
          <w:lang w:val="en-US" w:eastAsia="zh-CN" w:bidi="ar-SA"/>
        </w:rPr>
        <w:t>在旨</w:t>
      </w:r>
      <w:r>
        <w:rPr>
          <w:rFonts w:hint="eastAsia" w:ascii="Times New Roman" w:hAnsi="Times New Roman" w:eastAsia="仿宋_GB2312" w:cs="Times New Roman"/>
          <w:b w:val="0"/>
          <w:bCs w:val="0"/>
          <w:kern w:val="28"/>
          <w:sz w:val="32"/>
          <w:szCs w:val="32"/>
          <w:highlight w:val="none"/>
          <w:lang w:val="en-US" w:eastAsia="zh-CN" w:bidi="ar-SA"/>
        </w:rPr>
        <w:t>提高编外人员工作积极性：有效提高；提高职工日常工作效率和质量：</w:t>
      </w:r>
      <w:r>
        <w:rPr>
          <w:rFonts w:hint="eastAsia" w:eastAsia="仿宋_GB2312" w:cs="Times New Roman"/>
          <w:b w:val="0"/>
          <w:bCs w:val="0"/>
          <w:kern w:val="28"/>
          <w:sz w:val="32"/>
          <w:szCs w:val="32"/>
          <w:highlight w:val="none"/>
          <w:lang w:val="en-US" w:eastAsia="zh-CN" w:bidi="ar-SA"/>
        </w:rPr>
        <w:t>项目预算涵盖从起始日期2024年1月1日至2024年12月31日全部资金投入与支出，涉及资金总额为4.5万元。</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val="en-US" w:eastAsia="zh-CN"/>
        </w:rPr>
        <w:t>4.</w:t>
      </w:r>
      <w:r>
        <w:rPr>
          <w:rFonts w:hint="default" w:ascii="Times New Roman" w:hAnsi="Times New Roman" w:eastAsia="仿宋_GB2312" w:cs="Times New Roman"/>
          <w:b w:val="0"/>
          <w:bCs w:val="0"/>
          <w:highlight w:val="none"/>
        </w:rPr>
        <w:t>绩效评价的范围</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本项目预算绩效评价报告的评价范围广泛而全面，涵盖了从项目立项至评价时点期间的所有关键预算活动和财务流程。具体而言，评价范围包括但不限于以下几个方面：</w:t>
      </w:r>
    </w:p>
    <w:p>
      <w:pPr>
        <w:pStyle w:val="12"/>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项目预算编制与执行：全面审视项目预算的编制依据、合理性、科学性以及实际执行情况，包括预算调整的原因和效果。</w:t>
      </w:r>
    </w:p>
    <w:p>
      <w:pPr>
        <w:pStyle w:val="12"/>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资金管理：深入分析项目资金的分配、使用和监管情况，确保资金使用的合规性、高效性和透明度。</w:t>
      </w:r>
    </w:p>
    <w:p>
      <w:pPr>
        <w:pStyle w:val="12"/>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项目实施进度与产出：评估项目是否按照既定计划顺利推进，各项任务是否按时完成，以及项目产出的数量、质量和时效性是否符合预期。</w:t>
      </w:r>
    </w:p>
    <w:p>
      <w:pPr>
        <w:pStyle w:val="12"/>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社会影响：</w:t>
      </w:r>
      <w:r>
        <w:rPr>
          <w:rFonts w:hint="eastAsia" w:ascii="Times New Roman" w:hAnsi="Times New Roman" w:eastAsia="仿宋_GB2312" w:cs="Times New Roman"/>
          <w:b w:val="0"/>
          <w:bCs w:val="0"/>
          <w:highlight w:val="none"/>
          <w:lang w:eastAsia="zh-CN"/>
        </w:rPr>
        <w:t>基本公卫资金项目对社会有着深远的积极影响，是保障居民健康，促进社会和谐发展的重要举措，推动健康观念转变，增强社会稳定</w:t>
      </w:r>
      <w:r>
        <w:rPr>
          <w:rFonts w:hint="default" w:ascii="Times New Roman" w:hAnsi="Times New Roman" w:eastAsia="仿宋_GB2312" w:cs="Times New Roman"/>
          <w:b w:val="0"/>
          <w:bCs w:val="0"/>
          <w:highlight w:val="none"/>
        </w:rPr>
        <w:t>。</w:t>
      </w:r>
    </w:p>
    <w:p>
      <w:pPr>
        <w:spacing w:line="560" w:lineRule="exact"/>
        <w:ind w:firstLine="643" w:firstLineChars="200"/>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8"/>
          <w:sz w:val="32"/>
          <w:szCs w:val="32"/>
          <w:highlight w:val="none"/>
          <w:lang w:val="en-US" w:eastAsia="zh-CN" w:bidi="ar-SA"/>
        </w:rPr>
      </w:pPr>
      <w:r>
        <w:rPr>
          <w:rFonts w:hint="default" w:ascii="Times New Roman" w:hAnsi="Times New Roman" w:eastAsia="仿宋_GB2312" w:cs="Times New Roman"/>
          <w:b w:val="0"/>
          <w:bCs w:val="0"/>
          <w:kern w:val="28"/>
          <w:sz w:val="32"/>
          <w:szCs w:val="32"/>
          <w:highlight w:val="none"/>
          <w:lang w:val="en-US" w:eastAsia="zh-CN" w:bidi="ar-SA"/>
        </w:rPr>
        <w:t>1.绩效评价原则</w:t>
      </w:r>
    </w:p>
    <w:p>
      <w:pPr>
        <w:spacing w:line="560" w:lineRule="exact"/>
        <w:ind w:firstLine="640" w:firstLineChars="200"/>
        <w:rPr>
          <w:rFonts w:hint="default" w:ascii="Times New Roman" w:hAnsi="Times New Roman" w:eastAsia="仿宋_GB2312" w:cs="Times New Roman"/>
          <w:b w:val="0"/>
          <w:bCs w:val="0"/>
          <w:kern w:val="28"/>
          <w:sz w:val="32"/>
          <w:szCs w:val="32"/>
          <w:highlight w:val="none"/>
          <w:lang w:val="en-US" w:eastAsia="zh-CN" w:bidi="ar-SA"/>
        </w:rPr>
      </w:pPr>
      <w:r>
        <w:rPr>
          <w:rFonts w:hint="default" w:ascii="Times New Roman" w:hAnsi="Times New Roman" w:eastAsia="仿宋_GB2312" w:cs="Times New Roman"/>
          <w:b w:val="0"/>
          <w:bCs w:val="0"/>
          <w:kern w:val="28"/>
          <w:sz w:val="32"/>
          <w:szCs w:val="32"/>
          <w:highlight w:val="none"/>
          <w:lang w:val="en-US" w:eastAsia="zh-CN" w:bidi="ar-SA"/>
        </w:rPr>
        <w:t>本次项目绩效评价遵循以下基本原则：</w:t>
      </w:r>
    </w:p>
    <w:p>
      <w:pPr>
        <w:pStyle w:val="12"/>
        <w:spacing w:before="0" w:after="0" w:line="560" w:lineRule="exact"/>
        <w:ind w:firstLine="640" w:firstLineChars="200"/>
        <w:jc w:val="both"/>
        <w:outlineLvl w:val="9"/>
        <w:rPr>
          <w:rFonts w:hint="default" w:ascii="Times New Roman" w:hAnsi="Times New Roman" w:eastAsia="仿宋_GB2312" w:cs="Times New Roman"/>
          <w:b w:val="0"/>
          <w:bCs w:val="0"/>
          <w:kern w:val="28"/>
          <w:sz w:val="32"/>
          <w:szCs w:val="32"/>
          <w:highlight w:val="none"/>
          <w:lang w:val="en-US" w:eastAsia="zh-CN" w:bidi="ar-SA"/>
        </w:rPr>
      </w:pPr>
      <w:r>
        <w:rPr>
          <w:rFonts w:hint="default" w:ascii="Times New Roman" w:hAnsi="Times New Roman" w:eastAsia="仿宋_GB2312" w:cs="Times New Roman"/>
          <w:b w:val="0"/>
          <w:bCs w:val="0"/>
          <w:kern w:val="28"/>
          <w:sz w:val="32"/>
          <w:szCs w:val="32"/>
          <w:highlight w:val="none"/>
          <w:lang w:val="en-US" w:eastAsia="zh-CN" w:bidi="ar-SA"/>
        </w:rPr>
        <w:t>（1）科学公正。绩效评价应当运用科学合理的方法，按照规范的程序，对项目绩效进行客观、公正的反映。</w:t>
      </w:r>
    </w:p>
    <w:p>
      <w:pPr>
        <w:pStyle w:val="12"/>
        <w:spacing w:before="0" w:after="0" w:line="560" w:lineRule="exact"/>
        <w:ind w:firstLine="640" w:firstLineChars="200"/>
        <w:jc w:val="both"/>
        <w:outlineLvl w:val="9"/>
        <w:rPr>
          <w:rFonts w:hint="default" w:ascii="Times New Roman" w:hAnsi="Times New Roman" w:eastAsia="仿宋_GB2312" w:cs="Times New Roman"/>
          <w:b w:val="0"/>
          <w:bCs w:val="0"/>
          <w:kern w:val="28"/>
          <w:sz w:val="32"/>
          <w:szCs w:val="32"/>
          <w:highlight w:val="none"/>
          <w:lang w:val="en-US" w:eastAsia="zh-CN" w:bidi="ar-SA"/>
        </w:rPr>
      </w:pPr>
      <w:r>
        <w:rPr>
          <w:rFonts w:hint="default" w:ascii="Times New Roman" w:hAnsi="Times New Roman" w:eastAsia="仿宋_GB2312" w:cs="Times New Roman"/>
          <w:b w:val="0"/>
          <w:bCs w:val="0"/>
          <w:kern w:val="28"/>
          <w:sz w:val="32"/>
          <w:szCs w:val="32"/>
          <w:highlight w:val="none"/>
          <w:lang w:val="en-US" w:eastAsia="zh-CN" w:bidi="ar-SA"/>
        </w:rPr>
        <w:t>（2）统筹兼顾。单位自评、部门评价和财政评价应职责明确，各有侧重，相互衔接。单位自评应由项目单位自主实施，即“谁支出、谁自评”。部门评价和财政评价应在单位自评的基础上开展。</w:t>
      </w:r>
    </w:p>
    <w:p>
      <w:pPr>
        <w:pStyle w:val="12"/>
        <w:spacing w:before="0" w:after="0" w:line="560" w:lineRule="exact"/>
        <w:ind w:firstLine="640" w:firstLineChars="200"/>
        <w:jc w:val="both"/>
        <w:outlineLvl w:val="9"/>
        <w:rPr>
          <w:rFonts w:hint="default" w:ascii="Times New Roman" w:hAnsi="Times New Roman" w:eastAsia="仿宋_GB2312" w:cs="Times New Roman"/>
          <w:b w:val="0"/>
          <w:bCs w:val="0"/>
          <w:kern w:val="28"/>
          <w:sz w:val="32"/>
          <w:szCs w:val="32"/>
          <w:highlight w:val="none"/>
          <w:lang w:val="en-US" w:eastAsia="zh-CN" w:bidi="ar-SA"/>
        </w:rPr>
      </w:pPr>
      <w:r>
        <w:rPr>
          <w:rFonts w:hint="default" w:ascii="Times New Roman" w:hAnsi="Times New Roman" w:eastAsia="仿宋_GB2312" w:cs="Times New Roman"/>
          <w:b w:val="0"/>
          <w:bCs w:val="0"/>
          <w:kern w:val="28"/>
          <w:sz w:val="32"/>
          <w:szCs w:val="32"/>
          <w:highlight w:val="none"/>
          <w:lang w:val="en-US" w:eastAsia="zh-CN" w:bidi="ar-SA"/>
        </w:rPr>
        <w:t>（3）激励约束。绩效评价结果应与预算安排、政策调整、改进管理实质性挂钩，体现奖优罚劣和激励相容导向，有效要安排、低效要压减、无效要问责。</w:t>
      </w:r>
    </w:p>
    <w:p>
      <w:pPr>
        <w:pStyle w:val="12"/>
        <w:spacing w:before="0" w:after="0" w:line="560" w:lineRule="exact"/>
        <w:ind w:firstLine="640" w:firstLineChars="200"/>
        <w:jc w:val="both"/>
        <w:outlineLvl w:val="9"/>
        <w:rPr>
          <w:rFonts w:hint="default" w:ascii="Times New Roman" w:hAnsi="Times New Roman" w:eastAsia="仿宋_GB2312" w:cs="Times New Roman"/>
          <w:b w:val="0"/>
          <w:bCs w:val="0"/>
          <w:kern w:val="28"/>
          <w:sz w:val="32"/>
          <w:szCs w:val="32"/>
          <w:highlight w:val="none"/>
          <w:lang w:val="en-US" w:eastAsia="zh-CN" w:bidi="ar-SA"/>
        </w:rPr>
      </w:pPr>
      <w:r>
        <w:rPr>
          <w:rFonts w:hint="default" w:ascii="Times New Roman" w:hAnsi="Times New Roman" w:eastAsia="仿宋_GB2312" w:cs="Times New Roman"/>
          <w:b w:val="0"/>
          <w:bCs w:val="0"/>
          <w:kern w:val="28"/>
          <w:sz w:val="32"/>
          <w:szCs w:val="32"/>
          <w:highlight w:val="none"/>
          <w:lang w:val="en-US" w:eastAsia="zh-CN" w:bidi="ar-SA"/>
        </w:rPr>
        <w:t>（4）公开透明。绩效评价结果应依法依规公开，并自觉接受社会监督。</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8"/>
          <w:sz w:val="32"/>
          <w:szCs w:val="32"/>
          <w:highlight w:val="none"/>
          <w:lang w:val="en-US" w:eastAsia="zh-CN" w:bidi="ar-SA"/>
        </w:rPr>
      </w:pPr>
      <w:r>
        <w:rPr>
          <w:rFonts w:hint="default" w:ascii="Times New Roman" w:hAnsi="Times New Roman" w:eastAsia="仿宋_GB2312" w:cs="Times New Roman"/>
          <w:b w:val="0"/>
          <w:bCs w:val="0"/>
          <w:kern w:val="28"/>
          <w:sz w:val="32"/>
          <w:szCs w:val="32"/>
          <w:highlight w:val="none"/>
          <w:lang w:val="en-US" w:eastAsia="zh-CN" w:bidi="ar-SA"/>
        </w:rPr>
        <w:t>2.评价指标体系</w:t>
      </w:r>
    </w:p>
    <w:p>
      <w:pPr>
        <w:spacing w:line="560" w:lineRule="exact"/>
        <w:ind w:firstLine="640" w:firstLineChars="200"/>
        <w:rPr>
          <w:rFonts w:hint="default" w:ascii="Times New Roman" w:hAnsi="Times New Roman" w:eastAsia="仿宋_GB2312" w:cs="Times New Roman"/>
          <w:b w:val="0"/>
          <w:bCs w:val="0"/>
          <w:kern w:val="28"/>
          <w:sz w:val="32"/>
          <w:szCs w:val="32"/>
          <w:highlight w:val="none"/>
          <w:lang w:val="en-US" w:eastAsia="zh-CN" w:bidi="ar-SA"/>
        </w:rPr>
      </w:pPr>
      <w:r>
        <w:rPr>
          <w:rFonts w:hint="default" w:ascii="Times New Roman" w:hAnsi="Times New Roman" w:eastAsia="仿宋_GB2312" w:cs="Times New Roman"/>
          <w:b w:val="0"/>
          <w:bCs w:val="0"/>
          <w:kern w:val="28"/>
          <w:sz w:val="32"/>
          <w:szCs w:val="32"/>
          <w:highlight w:val="none"/>
          <w:lang w:val="en-US" w:eastAsia="zh-CN" w:bidi="ar-SA"/>
        </w:rPr>
        <w:t>绩效评价框架是开展绩效评价的核心。绩效评价框架包括评价准则、关键评价问题、评价指标、数据来源、数据收集方法等。指标体系建立过程如下：</w:t>
      </w:r>
    </w:p>
    <w:p>
      <w:pPr>
        <w:spacing w:line="560" w:lineRule="exact"/>
        <w:ind w:firstLine="640" w:firstLineChars="200"/>
        <w:rPr>
          <w:rFonts w:hint="default" w:ascii="Times New Roman" w:hAnsi="Times New Roman" w:eastAsia="仿宋_GB2312" w:cs="Times New Roman"/>
          <w:b w:val="0"/>
          <w:bCs w:val="0"/>
          <w:kern w:val="28"/>
          <w:sz w:val="32"/>
          <w:szCs w:val="32"/>
          <w:highlight w:val="none"/>
          <w:lang w:val="en-US" w:eastAsia="zh-CN" w:bidi="ar-SA"/>
        </w:rPr>
      </w:pPr>
      <w:r>
        <w:rPr>
          <w:rFonts w:hint="default" w:ascii="Times New Roman" w:hAnsi="Times New Roman" w:eastAsia="仿宋_GB2312" w:cs="Times New Roman"/>
          <w:b w:val="0"/>
          <w:bCs w:val="0"/>
          <w:kern w:val="28"/>
          <w:sz w:val="32"/>
          <w:szCs w:val="32"/>
          <w:highlight w:val="none"/>
          <w:lang w:val="en-US" w:eastAsia="zh-CN" w:bidi="ar-SA"/>
        </w:rPr>
        <w:t>（1）确定评价指标</w:t>
      </w:r>
    </w:p>
    <w:p>
      <w:pPr>
        <w:spacing w:line="560" w:lineRule="exact"/>
        <w:ind w:firstLine="640" w:firstLineChars="200"/>
        <w:rPr>
          <w:rFonts w:hint="default" w:ascii="Times New Roman" w:hAnsi="Times New Roman" w:eastAsia="仿宋_GB2312" w:cs="Times New Roman"/>
          <w:b w:val="0"/>
          <w:bCs w:val="0"/>
          <w:kern w:val="28"/>
          <w:sz w:val="32"/>
          <w:szCs w:val="32"/>
          <w:highlight w:val="none"/>
          <w:lang w:val="en-US" w:eastAsia="zh-CN" w:bidi="ar-SA"/>
        </w:rPr>
      </w:pPr>
      <w:r>
        <w:rPr>
          <w:rFonts w:hint="default" w:ascii="Times New Roman" w:hAnsi="Times New Roman" w:eastAsia="仿宋_GB2312" w:cs="Times New Roman"/>
          <w:b w:val="0"/>
          <w:bCs w:val="0"/>
          <w:kern w:val="28"/>
          <w:sz w:val="32"/>
          <w:szCs w:val="32"/>
          <w:highlight w:val="none"/>
          <w:lang w:val="en-US" w:eastAsia="zh-CN" w:bidi="ar-SA"/>
        </w:rPr>
        <w:t>采用层次分析法，建立评价指标体系。绩效评价将指标分为项目决策指标、项目过程指标、项目产出指标、项目效益指标四个维度，最终形成一个由多个相互联系的指标组成的多层次指标体系。</w:t>
      </w:r>
    </w:p>
    <w:p>
      <w:pPr>
        <w:spacing w:line="560" w:lineRule="exact"/>
        <w:ind w:firstLine="640" w:firstLineChars="200"/>
        <w:rPr>
          <w:rFonts w:hint="default" w:ascii="Times New Roman" w:hAnsi="Times New Roman" w:eastAsia="仿宋_GB2312" w:cs="Times New Roman"/>
          <w:b w:val="0"/>
          <w:bCs w:val="0"/>
          <w:kern w:val="28"/>
          <w:sz w:val="32"/>
          <w:szCs w:val="32"/>
          <w:highlight w:val="none"/>
          <w:lang w:val="en-US" w:eastAsia="zh-CN" w:bidi="ar-SA"/>
        </w:rPr>
      </w:pPr>
      <w:r>
        <w:rPr>
          <w:rFonts w:hint="default" w:ascii="Times New Roman" w:hAnsi="Times New Roman" w:eastAsia="仿宋_GB2312" w:cs="Times New Roman"/>
          <w:b w:val="0"/>
          <w:bCs w:val="0"/>
          <w:kern w:val="28"/>
          <w:sz w:val="32"/>
          <w:szCs w:val="32"/>
          <w:highlight w:val="none"/>
          <w:lang w:val="en-US" w:eastAsia="zh-CN" w:bidi="ar-SA"/>
        </w:rPr>
        <w:t>（2）确定权重</w:t>
      </w:r>
    </w:p>
    <w:p>
      <w:pPr>
        <w:spacing w:line="560" w:lineRule="exact"/>
        <w:ind w:firstLine="640" w:firstLineChars="200"/>
        <w:rPr>
          <w:rFonts w:hint="default" w:ascii="Times New Roman" w:hAnsi="Times New Roman" w:eastAsia="仿宋_GB2312" w:cs="Times New Roman"/>
          <w:b w:val="0"/>
          <w:bCs w:val="0"/>
          <w:kern w:val="28"/>
          <w:sz w:val="32"/>
          <w:szCs w:val="32"/>
          <w:highlight w:val="none"/>
          <w:lang w:val="en-US" w:eastAsia="zh-CN" w:bidi="ar-SA"/>
        </w:rPr>
      </w:pPr>
      <w:r>
        <w:rPr>
          <w:rFonts w:hint="default" w:ascii="Times New Roman" w:hAnsi="Times New Roman" w:eastAsia="仿宋_GB2312" w:cs="Times New Roman"/>
          <w:b w:val="0"/>
          <w:bCs w:val="0"/>
          <w:kern w:val="28"/>
          <w:sz w:val="32"/>
          <w:szCs w:val="32"/>
          <w:highlight w:val="none"/>
          <w:lang w:val="en-US" w:eastAsia="zh-CN" w:bidi="ar-SA"/>
        </w:rPr>
        <w:t>确定各个指标相对于项目总体绩效的权重分值。在绩效评价指标体系中，项目决策权重为20分，项目过程权重为20分，项目产出权重为40分，项目效益权重为20分。</w:t>
      </w:r>
    </w:p>
    <w:p>
      <w:pPr>
        <w:spacing w:line="560" w:lineRule="exact"/>
        <w:ind w:firstLine="640" w:firstLineChars="200"/>
        <w:rPr>
          <w:rFonts w:hint="default" w:ascii="Times New Roman" w:hAnsi="Times New Roman" w:eastAsia="仿宋_GB2312" w:cs="Times New Roman"/>
          <w:b w:val="0"/>
          <w:bCs w:val="0"/>
          <w:kern w:val="28"/>
          <w:sz w:val="32"/>
          <w:szCs w:val="32"/>
          <w:highlight w:val="none"/>
          <w:lang w:val="en-US" w:eastAsia="zh-CN" w:bidi="ar-SA"/>
        </w:rPr>
      </w:pPr>
      <w:r>
        <w:rPr>
          <w:rFonts w:hint="default" w:ascii="Times New Roman" w:hAnsi="Times New Roman" w:eastAsia="仿宋_GB2312" w:cs="Times New Roman"/>
          <w:b w:val="0"/>
          <w:bCs w:val="0"/>
          <w:kern w:val="28"/>
          <w:sz w:val="32"/>
          <w:szCs w:val="32"/>
          <w:highlight w:val="none"/>
          <w:lang w:val="en-US" w:eastAsia="zh-CN" w:bidi="ar-SA"/>
        </w:rPr>
        <w:t>（3）确定指标标准值</w:t>
      </w:r>
    </w:p>
    <w:p>
      <w:pPr>
        <w:spacing w:line="560" w:lineRule="exact"/>
        <w:ind w:firstLine="640" w:firstLineChars="200"/>
        <w:rPr>
          <w:rFonts w:hint="default" w:ascii="Times New Roman" w:hAnsi="Times New Roman" w:eastAsia="仿宋_GB2312" w:cs="Times New Roman"/>
          <w:b w:val="0"/>
          <w:bCs w:val="0"/>
          <w:kern w:val="28"/>
          <w:sz w:val="32"/>
          <w:szCs w:val="32"/>
          <w:highlight w:val="none"/>
          <w:lang w:val="en-US" w:eastAsia="zh-CN" w:bidi="ar-SA"/>
        </w:rPr>
      </w:pPr>
      <w:r>
        <w:rPr>
          <w:rFonts w:hint="default" w:ascii="Times New Roman" w:hAnsi="Times New Roman" w:eastAsia="仿宋_GB2312" w:cs="Times New Roman"/>
          <w:b w:val="0"/>
          <w:bCs w:val="0"/>
          <w:kern w:val="28"/>
          <w:sz w:val="32"/>
          <w:szCs w:val="32"/>
          <w:highlight w:val="none"/>
          <w:lang w:val="en-US" w:eastAsia="zh-CN" w:bidi="ar-SA"/>
        </w:rPr>
        <w:t>指标标准值是绩效评价指标的尺度，既要反映同类项目的先进水平，又要符合项目的实际绩效水平。具体采用计划标准等确定此次绩效评价指标标准值。</w:t>
      </w:r>
    </w:p>
    <w:p>
      <w:pPr>
        <w:pStyle w:val="12"/>
        <w:spacing w:before="0" w:after="0" w:line="560" w:lineRule="exact"/>
        <w:ind w:firstLine="640" w:firstLineChars="200"/>
        <w:jc w:val="both"/>
        <w:rPr>
          <w:rFonts w:hint="default" w:ascii="Times New Roman" w:hAnsi="Times New Roman" w:eastAsia="仿宋_GB2312" w:cs="Times New Roman"/>
          <w:b w:val="0"/>
          <w:bCs w:val="0"/>
          <w:kern w:val="28"/>
          <w:sz w:val="32"/>
          <w:szCs w:val="32"/>
          <w:highlight w:val="none"/>
          <w:lang w:val="en-US" w:eastAsia="zh-CN" w:bidi="ar-SA"/>
        </w:rPr>
      </w:pPr>
      <w:r>
        <w:rPr>
          <w:rFonts w:hint="default" w:ascii="Times New Roman" w:hAnsi="Times New Roman" w:eastAsia="仿宋_GB2312" w:cs="Times New Roman"/>
          <w:b w:val="0"/>
          <w:bCs w:val="0"/>
          <w:kern w:val="28"/>
          <w:sz w:val="32"/>
          <w:szCs w:val="32"/>
          <w:highlight w:val="none"/>
          <w:lang w:val="en-US" w:eastAsia="zh-CN" w:bidi="ar-SA"/>
        </w:rPr>
        <w:t>绩效评价总分值100分，根据综合评分结果，90（含）-100分为优、80（含）-90分为良、60（含）-80分为中、60分以下为差。</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8"/>
          <w:sz w:val="32"/>
          <w:szCs w:val="32"/>
          <w:highlight w:val="none"/>
          <w:lang w:val="en-US" w:eastAsia="zh-CN" w:bidi="ar-SA"/>
        </w:rPr>
      </w:pPr>
      <w:r>
        <w:rPr>
          <w:rFonts w:hint="default" w:ascii="Times New Roman" w:hAnsi="Times New Roman" w:eastAsia="仿宋_GB2312" w:cs="Times New Roman"/>
          <w:b w:val="0"/>
          <w:bCs w:val="0"/>
          <w:kern w:val="28"/>
          <w:sz w:val="32"/>
          <w:szCs w:val="32"/>
          <w:highlight w:val="none"/>
          <w:lang w:val="en-US" w:eastAsia="zh-CN" w:bidi="ar-SA"/>
        </w:rPr>
        <w:t>具体评价指标体系详情见附件1</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8"/>
          <w:sz w:val="32"/>
          <w:szCs w:val="32"/>
          <w:highlight w:val="none"/>
          <w:lang w:val="en-US" w:eastAsia="zh-CN" w:bidi="ar-SA"/>
        </w:rPr>
      </w:pPr>
      <w:r>
        <w:rPr>
          <w:rFonts w:hint="default" w:ascii="Times New Roman" w:hAnsi="Times New Roman" w:eastAsia="仿宋_GB2312" w:cs="Times New Roman"/>
          <w:b w:val="0"/>
          <w:bCs w:val="0"/>
          <w:kern w:val="28"/>
          <w:sz w:val="32"/>
          <w:szCs w:val="32"/>
          <w:highlight w:val="none"/>
          <w:lang w:val="en-US" w:eastAsia="zh-CN" w:bidi="ar-SA"/>
        </w:rPr>
        <w:t>3.绩效评价方法</w:t>
      </w:r>
    </w:p>
    <w:p>
      <w:pPr>
        <w:spacing w:line="560" w:lineRule="exact"/>
        <w:ind w:firstLine="640" w:firstLineChars="200"/>
        <w:rPr>
          <w:rFonts w:hint="default" w:ascii="Times New Roman" w:hAnsi="Times New Roman" w:eastAsia="仿宋_GB2312" w:cs="Times New Roman"/>
          <w:b w:val="0"/>
          <w:bCs w:val="0"/>
          <w:kern w:val="28"/>
          <w:sz w:val="32"/>
          <w:szCs w:val="32"/>
          <w:highlight w:val="none"/>
          <w:lang w:val="en-US" w:eastAsia="zh-CN" w:bidi="ar-SA"/>
        </w:rPr>
      </w:pPr>
      <w:r>
        <w:rPr>
          <w:rFonts w:hint="default" w:ascii="Times New Roman" w:hAnsi="Times New Roman" w:eastAsia="仿宋_GB2312" w:cs="Times New Roman"/>
          <w:b w:val="0"/>
          <w:bCs w:val="0"/>
          <w:kern w:val="28"/>
          <w:sz w:val="32"/>
          <w:szCs w:val="32"/>
          <w:highlight w:val="none"/>
          <w:lang w:val="en-US" w:eastAsia="zh-CN" w:bidi="ar-SA"/>
        </w:rPr>
        <w:t>绩效评价从项目决策、项目过程、项目产出、项目效益四个维度进行评价。评价对象为项目目标实施情况，  评价核心为资金的支出完成情况和项目的产出效益。</w:t>
      </w:r>
    </w:p>
    <w:p>
      <w:pPr>
        <w:spacing w:line="560" w:lineRule="exact"/>
        <w:ind w:firstLine="640" w:firstLineChars="200"/>
        <w:rPr>
          <w:rFonts w:hint="default" w:ascii="Times New Roman" w:hAnsi="Times New Roman" w:eastAsia="仿宋_GB2312" w:cs="Times New Roman"/>
          <w:b w:val="0"/>
          <w:bCs w:val="0"/>
          <w:kern w:val="28"/>
          <w:sz w:val="32"/>
          <w:szCs w:val="32"/>
          <w:highlight w:val="none"/>
          <w:lang w:val="en-US" w:eastAsia="zh-CN" w:bidi="ar-SA"/>
        </w:rPr>
      </w:pPr>
      <w:r>
        <w:rPr>
          <w:rFonts w:hint="default" w:ascii="Times New Roman" w:hAnsi="Times New Roman" w:eastAsia="仿宋_GB2312" w:cs="Times New Roman"/>
          <w:b w:val="0"/>
          <w:bCs w:val="0"/>
          <w:kern w:val="28"/>
          <w:sz w:val="32"/>
          <w:szCs w:val="32"/>
          <w:highlight w:val="none"/>
          <w:lang w:val="en-US" w:eastAsia="zh-CN" w:bidi="ar-SA"/>
        </w:rPr>
        <w:t>本次评价指标中，既有定性指标又有定量指标，各类指标因考核内容不同和客观标准不同存在较大差异，因此核定具体指标时采用了不同方法，具体评价方法如下：</w:t>
      </w:r>
    </w:p>
    <w:p>
      <w:pPr>
        <w:spacing w:line="560" w:lineRule="exact"/>
        <w:ind w:firstLine="640" w:firstLineChars="200"/>
        <w:rPr>
          <w:rFonts w:hint="default" w:ascii="Times New Roman" w:hAnsi="Times New Roman" w:eastAsia="仿宋_GB2312" w:cs="Times New Roman"/>
          <w:b w:val="0"/>
          <w:bCs w:val="0"/>
          <w:kern w:val="28"/>
          <w:sz w:val="32"/>
          <w:szCs w:val="32"/>
          <w:highlight w:val="none"/>
          <w:lang w:val="en-US" w:eastAsia="zh-CN" w:bidi="ar-SA"/>
        </w:rPr>
      </w:pPr>
      <w:r>
        <w:rPr>
          <w:rFonts w:hint="default" w:ascii="Times New Roman" w:hAnsi="Times New Roman" w:eastAsia="仿宋_GB2312" w:cs="Times New Roman"/>
          <w:b w:val="0"/>
          <w:bCs w:val="0"/>
          <w:kern w:val="28"/>
          <w:sz w:val="32"/>
          <w:szCs w:val="32"/>
          <w:highlight w:val="none"/>
          <w:lang w:val="en-US" w:eastAsia="zh-CN" w:bidi="ar-SA"/>
        </w:rPr>
        <w:t>（</w:t>
      </w:r>
      <w:r>
        <w:rPr>
          <w:rFonts w:hint="eastAsia" w:ascii="Times New Roman" w:hAnsi="Times New Roman" w:eastAsia="仿宋_GB2312" w:cs="Times New Roman"/>
          <w:b w:val="0"/>
          <w:bCs w:val="0"/>
          <w:kern w:val="28"/>
          <w:sz w:val="32"/>
          <w:szCs w:val="32"/>
          <w:highlight w:val="none"/>
          <w:lang w:val="en-US" w:eastAsia="zh-CN" w:bidi="ar-SA"/>
        </w:rPr>
        <w:t>一</w:t>
      </w:r>
      <w:r>
        <w:rPr>
          <w:rFonts w:hint="default" w:ascii="Times New Roman" w:hAnsi="Times New Roman" w:eastAsia="仿宋_GB2312" w:cs="Times New Roman"/>
          <w:b w:val="0"/>
          <w:bCs w:val="0"/>
          <w:kern w:val="28"/>
          <w:sz w:val="32"/>
          <w:szCs w:val="32"/>
          <w:highlight w:val="none"/>
          <w:lang w:val="en-US" w:eastAsia="zh-CN" w:bidi="ar-SA"/>
        </w:rPr>
        <w:t>）因素分析法。是指综合分析影响绩效目标实现、实施效果的内外部因素的方法。</w:t>
      </w:r>
      <w:r>
        <w:rPr>
          <w:rFonts w:hint="eastAsia" w:ascii="Times New Roman" w:hAnsi="Times New Roman" w:eastAsia="仿宋_GB2312" w:cs="Times New Roman"/>
          <w:b w:val="0"/>
          <w:bCs w:val="0"/>
          <w:kern w:val="28"/>
          <w:sz w:val="32"/>
          <w:szCs w:val="32"/>
          <w:highlight w:val="none"/>
          <w:lang w:val="en-US" w:eastAsia="zh-CN" w:bidi="ar-SA"/>
        </w:rPr>
        <w:t>选择因素分析法因其全面性、灵活性以及能够提供定量依据的特点。</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8"/>
          <w:sz w:val="32"/>
          <w:szCs w:val="32"/>
          <w:highlight w:val="none"/>
          <w:lang w:val="en-US" w:eastAsia="zh-CN" w:bidi="ar-SA"/>
        </w:rPr>
      </w:pPr>
      <w:r>
        <w:rPr>
          <w:rFonts w:hint="default" w:ascii="Times New Roman" w:hAnsi="Times New Roman" w:eastAsia="仿宋_GB2312" w:cs="Times New Roman"/>
          <w:b w:val="0"/>
          <w:bCs w:val="0"/>
          <w:kern w:val="28"/>
          <w:sz w:val="32"/>
          <w:szCs w:val="32"/>
          <w:highlight w:val="none"/>
          <w:lang w:val="en-US" w:eastAsia="zh-CN" w:bidi="ar-SA"/>
        </w:rPr>
        <w:t>4.评价标准</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8"/>
          <w:sz w:val="32"/>
          <w:szCs w:val="32"/>
          <w:highlight w:val="none"/>
          <w:lang w:val="en-US" w:eastAsia="zh-CN" w:bidi="ar-SA"/>
        </w:rPr>
      </w:pPr>
      <w:r>
        <w:rPr>
          <w:rFonts w:hint="default" w:ascii="Times New Roman" w:hAnsi="Times New Roman" w:eastAsia="仿宋_GB2312" w:cs="Times New Roman"/>
          <w:b w:val="0"/>
          <w:bCs w:val="0"/>
          <w:kern w:val="28"/>
          <w:sz w:val="32"/>
          <w:szCs w:val="32"/>
          <w:highlight w:val="none"/>
          <w:lang w:val="en-US" w:eastAsia="zh-CN" w:bidi="ar-SA"/>
        </w:rPr>
        <w:t>绩效评价标准通常包括计划标准、行业标准、历史标准等，用于对绩效指标完成情况进行比较、分析、评价。本次评价主要采用了计划标准。</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8"/>
          <w:sz w:val="32"/>
          <w:szCs w:val="32"/>
          <w:highlight w:val="none"/>
          <w:lang w:val="en-US" w:eastAsia="zh-CN" w:bidi="ar-SA"/>
        </w:rPr>
      </w:pPr>
      <w:r>
        <w:rPr>
          <w:rFonts w:hint="default" w:ascii="Times New Roman" w:hAnsi="Times New Roman" w:eastAsia="仿宋_GB2312" w:cs="Times New Roman"/>
          <w:b w:val="0"/>
          <w:bCs w:val="0"/>
          <w:kern w:val="28"/>
          <w:sz w:val="32"/>
          <w:szCs w:val="32"/>
          <w:highlight w:val="none"/>
          <w:lang w:val="en-US" w:eastAsia="zh-CN" w:bidi="ar-SA"/>
        </w:rPr>
        <w:t>（1）计划标准。指以预先制定的目标、计划、预算、定额等作为评价标准。</w:t>
      </w:r>
    </w:p>
    <w:p>
      <w:pPr>
        <w:pStyle w:val="12"/>
        <w:numPr>
          <w:ilvl w:val="0"/>
          <w:numId w:val="2"/>
        </w:numPr>
        <w:spacing w:before="0" w:after="0" w:line="560" w:lineRule="exact"/>
        <w:ind w:firstLine="711" w:firstLineChars="200"/>
        <w:jc w:val="both"/>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前期准备与规划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）指标体系构建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000000"/>
          <w:spacing w:val="17"/>
          <w:sz w:val="32"/>
          <w:szCs w:val="32"/>
          <w:highlight w:val="none"/>
        </w:rPr>
        <w:t>项目决策、项目过程、项目产出、项目效益四个维度</w:t>
      </w:r>
      <w:r>
        <w:rPr>
          <w:rFonts w:hint="default" w:ascii="Times New Roman" w:hAnsi="Times New Roman" w:eastAsia="仿宋_GB2312" w:cs="Times New Roman"/>
          <w:sz w:val="32"/>
          <w:szCs w:val="32"/>
          <w:highlight w:val="none"/>
          <w:lang w:eastAsia="zh-CN"/>
        </w:rPr>
        <w:t>，选取了具有代表性和可衡量性的关键指标，并为每个指标设定了明确的评价标准与权重，确保评价结果能够全面、准确地反映项目的绩效状况。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）数据收集与整理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）数据分析与评估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eastAsia="zh-CN"/>
        </w:rPr>
        <w:t>）报告撰写与反馈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）后续跟踪与改进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pPr>
        <w:numPr>
          <w:ilvl w:val="0"/>
          <w:numId w:val="3"/>
        </w:num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pPr>
        <w:pStyle w:val="12"/>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本项目的综合评价基于对项目各方面绩效的深入分析与评估。从项目目标的达成情况来看，</w:t>
      </w:r>
      <w:r>
        <w:rPr>
          <w:rFonts w:hint="eastAsia" w:ascii="Times New Roman" w:hAnsi="Times New Roman" w:eastAsia="仿宋_GB2312" w:cs="Times New Roman"/>
          <w:sz w:val="32"/>
          <w:szCs w:val="32"/>
          <w:highlight w:val="none"/>
          <w:lang w:val="en-US" w:eastAsia="zh-CN"/>
        </w:rPr>
        <w:t>2024年单位资金收入（事业收入）</w:t>
      </w:r>
      <w:r>
        <w:rPr>
          <w:rFonts w:hint="default" w:ascii="Times New Roman" w:hAnsi="Times New Roman" w:eastAsia="仿宋_GB2312" w:cs="Times New Roman"/>
          <w:sz w:val="32"/>
          <w:szCs w:val="32"/>
          <w:highlight w:val="none"/>
          <w:lang w:val="en-US" w:eastAsia="zh-CN"/>
        </w:rPr>
        <w:t>项目</w:t>
      </w:r>
      <w:r>
        <w:rPr>
          <w:rFonts w:hint="eastAsia" w:ascii="Times New Roman" w:hAnsi="Times New Roman" w:eastAsia="仿宋_GB2312" w:cs="Times New Roman"/>
          <w:sz w:val="32"/>
          <w:szCs w:val="32"/>
          <w:highlight w:val="none"/>
          <w:lang w:val="en-US" w:eastAsia="zh-CN"/>
        </w:rPr>
        <w:t>对</w:t>
      </w:r>
      <w:r>
        <w:rPr>
          <w:rFonts w:hint="eastAsia" w:ascii="Times New Roman" w:hAnsi="Times New Roman" w:eastAsia="仿宋_GB2312" w:cs="Times New Roman"/>
          <w:sz w:val="32"/>
          <w:szCs w:val="32"/>
          <w:highlight w:val="none"/>
        </w:rPr>
        <w:t>提高编外人员工作积极性：有效提高；</w:t>
      </w:r>
      <w:r>
        <w:rPr>
          <w:rFonts w:hint="default" w:ascii="Times New Roman" w:hAnsi="Times New Roman" w:eastAsia="仿宋_GB2312" w:cs="Times New Roman"/>
          <w:sz w:val="32"/>
          <w:szCs w:val="32"/>
          <w:highlight w:val="none"/>
        </w:rPr>
        <w:t>等方面表现出色，达到了预期的标准与要求。</w:t>
      </w:r>
      <w:r>
        <w:rPr>
          <w:rFonts w:hint="eastAsia" w:ascii="Times New Roman" w:hAnsi="Times New Roman" w:eastAsia="仿宋_GB2312" w:cs="Times New Roman"/>
          <w:sz w:val="32"/>
          <w:szCs w:val="32"/>
          <w:highlight w:val="none"/>
          <w:lang w:val="en-US" w:eastAsia="zh-CN"/>
        </w:rPr>
        <w:t>同时，项目也在</w:t>
      </w:r>
      <w:r>
        <w:rPr>
          <w:rFonts w:hint="eastAsia" w:ascii="Times New Roman" w:hAnsi="Times New Roman" w:eastAsia="仿宋_GB2312" w:cs="Times New Roman"/>
          <w:sz w:val="32"/>
          <w:szCs w:val="32"/>
          <w:highlight w:val="none"/>
        </w:rPr>
        <w:t>高职工日常工作效率和质量</w:t>
      </w:r>
      <w:r>
        <w:rPr>
          <w:rFonts w:hint="default" w:ascii="Times New Roman" w:hAnsi="Times New Roman" w:eastAsia="仿宋_GB2312" w:cs="Times New Roman"/>
          <w:sz w:val="32"/>
          <w:szCs w:val="32"/>
          <w:highlight w:val="none"/>
        </w:rPr>
        <w:t>取得了显著的成效，如</w:t>
      </w:r>
      <w:r>
        <w:rPr>
          <w:rFonts w:hint="eastAsia" w:ascii="Times New Roman" w:hAnsi="Times New Roman" w:eastAsia="仿宋_GB2312" w:cs="Times New Roman"/>
          <w:sz w:val="32"/>
          <w:szCs w:val="32"/>
          <w:highlight w:val="none"/>
        </w:rPr>
        <w:t>单位职工满意度：</w:t>
      </w:r>
      <w:r>
        <w:rPr>
          <w:rFonts w:hint="eastAsia" w:ascii="Times New Roman" w:hAnsi="Times New Roman" w:eastAsia="仿宋_GB2312" w:cs="Times New Roman"/>
          <w:sz w:val="32"/>
          <w:szCs w:val="32"/>
          <w:highlight w:val="none"/>
          <w:lang w:eastAsia="zh-CN"/>
        </w:rPr>
        <w:t>满意度达到</w:t>
      </w:r>
      <w:r>
        <w:rPr>
          <w:rFonts w:hint="eastAsia" w:ascii="Times New Roman" w:hAnsi="Times New Roman" w:eastAsia="仿宋_GB2312" w:cs="Times New Roman"/>
          <w:sz w:val="32"/>
          <w:szCs w:val="32"/>
          <w:highlight w:val="none"/>
          <w:lang w:val="en-US" w:eastAsia="zh-CN"/>
        </w:rPr>
        <w:t>92%</w:t>
      </w:r>
      <w:r>
        <w:rPr>
          <w:rFonts w:hint="default" w:ascii="Times New Roman" w:hAnsi="Times New Roman" w:eastAsia="仿宋_GB2312" w:cs="Times New Roman"/>
          <w:sz w:val="32"/>
          <w:szCs w:val="32"/>
          <w:highlight w:val="none"/>
        </w:rPr>
        <w:t>。</w:t>
      </w:r>
    </w:p>
    <w:p>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320" w:firstLineChars="1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在项目管理方面，通过有效的规划、组织与协调，项目得以顺利实施，并在预算与时间上保持了良好的控制。</w:t>
      </w:r>
    </w:p>
    <w:p>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从项目效益的角度来看，本项目不仅实现了预期的社会效益、</w:t>
      </w:r>
      <w:r>
        <w:rPr>
          <w:rFonts w:hint="eastAsia" w:eastAsia="仿宋_GB2312" w:cs="Times New Roman"/>
          <w:sz w:val="32"/>
          <w:szCs w:val="32"/>
          <w:highlight w:val="none"/>
          <w:lang w:val="en-US" w:eastAsia="zh-CN"/>
        </w:rPr>
        <w:t>生态</w:t>
      </w:r>
      <w:r>
        <w:rPr>
          <w:rFonts w:hint="default" w:ascii="Times New Roman" w:hAnsi="Times New Roman" w:eastAsia="仿宋_GB2312" w:cs="Times New Roman"/>
          <w:sz w:val="32"/>
          <w:szCs w:val="32"/>
          <w:highlight w:val="none"/>
        </w:rPr>
        <w:t>效益等方面产生了积极的影响。具体而言，提高编外人员工作积极性</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提高职工日常工作效率和质量，为项目的利益相关者带来了实实在在的利益。</w:t>
      </w:r>
    </w:p>
    <w:p>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综上所述，</w:t>
      </w:r>
      <w:r>
        <w:rPr>
          <w:rFonts w:hint="eastAsia" w:ascii="Times New Roman" w:hAnsi="Times New Roman" w:eastAsia="仿宋_GB2312" w:cs="Times New Roman"/>
          <w:sz w:val="32"/>
          <w:szCs w:val="32"/>
          <w:highlight w:val="none"/>
        </w:rPr>
        <w:t>2024年单位资金收入（事业收入）</w:t>
      </w:r>
      <w:r>
        <w:rPr>
          <w:rFonts w:hint="default" w:ascii="Times New Roman" w:hAnsi="Times New Roman" w:eastAsia="仿宋_GB2312" w:cs="Times New Roman"/>
          <w:sz w:val="32"/>
          <w:szCs w:val="32"/>
          <w:highlight w:val="none"/>
        </w:rPr>
        <w:t>在绩效评价中表现出色，达到了项目的预期目标，并在多个方面取得了显著的成效。</w:t>
      </w:r>
    </w:p>
    <w:p>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二</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评价结论</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default" w:ascii="Times New Roman" w:hAnsi="Times New Roman" w:eastAsia="仿宋_GB2312" w:cs="Times New Roman"/>
          <w:b w:val="0"/>
          <w:bCs w:val="0"/>
          <w:highlight w:val="none"/>
        </w:rPr>
        <w:t>总得分为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 xml:space="preserve">分，属于“优”。其中，项目决策类指标权重为20分，得分为 </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%。项目产出类指标权重为40分，得分为</w:t>
      </w:r>
      <w:r>
        <w:rPr>
          <w:rFonts w:hint="eastAsia" w:ascii="Times New Roman" w:hAnsi="Times New Roman" w:eastAsia="仿宋_GB2312" w:cs="Times New Roman"/>
          <w:b w:val="0"/>
          <w:bCs w:val="0"/>
          <w:highlight w:val="none"/>
          <w:lang w:val="en-US" w:eastAsia="zh-CN"/>
        </w:rPr>
        <w:t>40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w:t>
      </w:r>
      <w:r>
        <w:rPr>
          <w:rFonts w:hint="default" w:ascii="Times New Roman" w:hAnsi="Times New Roman" w:eastAsia="仿宋_GB2312" w:cs="Times New Roman"/>
          <w:b w:val="0"/>
          <w:bCs w:val="0"/>
        </w:rPr>
        <w:t>具体打分情况详见：附件1综合评分表</w:t>
      </w:r>
      <w:r>
        <w:rPr>
          <w:rFonts w:hint="default" w:ascii="Times New Roman" w:hAnsi="Times New Roman" w:eastAsia="仿宋_GB2312" w:cs="Times New Roman"/>
          <w:b w:val="0"/>
          <w:bCs w:val="0"/>
          <w:lang w:eastAsia="zh-CN"/>
        </w:rPr>
        <w:t>。</w:t>
      </w:r>
    </w:p>
    <w:p>
      <w:pPr>
        <w:pStyle w:val="12"/>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表1综合评分表</w:t>
      </w:r>
    </w:p>
    <w:tbl>
      <w:tblPr>
        <w:tblStyle w:val="15"/>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r>
      <w:tr>
        <w:tblPrEx>
          <w:tblCellMar>
            <w:top w:w="0" w:type="dxa"/>
            <w:left w:w="108" w:type="dxa"/>
            <w:bottom w:w="0" w:type="dxa"/>
            <w:right w:w="108" w:type="dxa"/>
          </w:tblCellMar>
        </w:tblPrEx>
        <w:trPr>
          <w:trHeight w:val="325"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lang w:val="en-US" w:eastAsia="zh-CN"/>
              </w:rPr>
            </w:pPr>
            <w:r>
              <w:rPr>
                <w:rFonts w:hint="default" w:ascii="Times New Roman" w:hAnsi="Times New Roman" w:eastAsia="仿宋_GB2312" w:cs="Times New Roman"/>
                <w:b/>
                <w:bCs/>
                <w:color w:val="000000"/>
                <w:sz w:val="21"/>
                <w:szCs w:val="21"/>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lang w:val="en-US" w:eastAsia="zh-CN"/>
              </w:rPr>
            </w:pPr>
            <w:r>
              <w:rPr>
                <w:rFonts w:hint="eastAsia" w:eastAsia="仿宋_GB2312" w:cs="Times New Roman"/>
                <w:b/>
                <w:bCs/>
                <w:color w:val="000000"/>
                <w:sz w:val="21"/>
                <w:szCs w:val="21"/>
                <w:lang w:val="en-US" w:eastAsia="zh-CN"/>
              </w:rPr>
              <w:t>100</w:t>
            </w:r>
          </w:p>
        </w:tc>
      </w:tr>
    </w:tbl>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pPr>
        <w:pStyle w:val="12"/>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（一）项目决策情况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w:t>
      </w:r>
      <w:r>
        <w:rPr>
          <w:rFonts w:hint="default" w:ascii="Times New Roman" w:hAnsi="Times New Roman" w:eastAsia="仿宋_GB2312" w:cs="Times New Roman"/>
          <w:sz w:val="32"/>
          <w:szCs w:val="32"/>
          <w:lang w:eastAsia="zh-Hans"/>
        </w:rPr>
        <w:t>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Han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eastAsia="zh-Han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在预算编制过程中，</w:t>
      </w:r>
      <w:r>
        <w:rPr>
          <w:rFonts w:hint="default" w:ascii="Times New Roman" w:hAnsi="Times New Roman" w:eastAsia="仿宋_GB2312" w:cs="Times New Roman"/>
          <w:sz w:val="32"/>
          <w:szCs w:val="32"/>
          <w:highlight w:val="none"/>
          <w:lang w:val="en-US" w:eastAsia="zh-CN"/>
        </w:rPr>
        <w:t>还</w:t>
      </w:r>
      <w:r>
        <w:rPr>
          <w:rFonts w:hint="default" w:ascii="Times New Roman" w:hAnsi="Times New Roman" w:eastAsia="仿宋_GB2312" w:cs="Times New Roman"/>
          <w:sz w:val="32"/>
          <w:szCs w:val="32"/>
          <w:highlight w:val="none"/>
          <w:lang w:eastAsia="zh-CN"/>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pPr>
        <w:pStyle w:val="12"/>
        <w:numPr>
          <w:ilvl w:val="0"/>
          <w:numId w:val="4"/>
        </w:numPr>
        <w:spacing w:before="0" w:after="0" w:line="560" w:lineRule="exact"/>
        <w:ind w:firstLine="643" w:firstLineChars="200"/>
        <w:jc w:val="both"/>
        <w:rPr>
          <w:rFonts w:hint="default" w:ascii="Times New Roman" w:hAnsi="Times New Roman" w:eastAsia="楷体" w:cs="Times New Roman"/>
        </w:rPr>
      </w:pPr>
      <w:r>
        <w:rPr>
          <w:rFonts w:hint="default" w:ascii="Times New Roman" w:hAnsi="Times New Roman" w:eastAsia="楷体" w:cs="Times New Roman"/>
        </w:rPr>
        <w:t>项目过程情况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项目过程类指标包括资金管理和组织实施两方面的内容，由</w:t>
      </w:r>
      <w:r>
        <w:rPr>
          <w:rFonts w:hint="default" w:ascii="Times New Roman" w:hAnsi="Times New Roman" w:eastAsia="仿宋_GB2312" w:cs="Times New Roman"/>
          <w:sz w:val="32"/>
          <w:szCs w:val="32"/>
          <w:highlight w:val="none"/>
          <w:lang w:val="en-US" w:eastAsia="zh-CN"/>
        </w:rPr>
        <w:t>5个</w:t>
      </w:r>
      <w:r>
        <w:rPr>
          <w:rFonts w:hint="default" w:ascii="Times New Roman" w:hAnsi="Times New Roman" w:eastAsia="仿宋_GB2312" w:cs="Times New Roman"/>
          <w:sz w:val="32"/>
          <w:szCs w:val="32"/>
          <w:lang w:val="en-US" w:eastAsia="zh-CN"/>
        </w:rPr>
        <w:t>三级指标构成，权重分值为20分，</w:t>
      </w:r>
      <w:r>
        <w:rPr>
          <w:rFonts w:hint="default" w:ascii="Times New Roman" w:hAnsi="Times New Roman" w:eastAsia="仿宋_GB2312" w:cs="Times New Roman"/>
          <w:sz w:val="32"/>
          <w:szCs w:val="32"/>
          <w:highlight w:val="none"/>
          <w:lang w:val="en-US" w:eastAsia="zh-CN"/>
        </w:rPr>
        <w:t>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1.资金管理</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（1）资金到位率</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w:t>
      </w:r>
      <w:r>
        <w:rPr>
          <w:rFonts w:hint="default" w:ascii="Times New Roman" w:hAnsi="Times New Roman" w:eastAsia="仿宋_GB2312" w:cs="Times New Roman"/>
          <w:sz w:val="32"/>
          <w:szCs w:val="32"/>
          <w:highlight w:val="none"/>
          <w:lang w:val="en-US" w:eastAsia="zh-CN"/>
        </w:rPr>
        <w:t>总投资</w:t>
      </w:r>
      <w:r>
        <w:rPr>
          <w:rFonts w:hint="eastAsia" w:eastAsia="仿宋_GB2312" w:cs="Times New Roman"/>
          <w:sz w:val="32"/>
          <w:szCs w:val="32"/>
          <w:highlight w:val="none"/>
          <w:lang w:val="en-US" w:eastAsia="zh-CN"/>
        </w:rPr>
        <w:t>4.5</w:t>
      </w:r>
      <w:r>
        <w:rPr>
          <w:rFonts w:hint="default" w:ascii="Times New Roman" w:hAnsi="Times New Roman" w:eastAsia="仿宋_GB2312" w:cs="Times New Roman"/>
          <w:sz w:val="32"/>
          <w:szCs w:val="32"/>
          <w:highlight w:val="none"/>
          <w:lang w:val="en-US" w:eastAsia="zh-CN"/>
        </w:rPr>
        <w:t>万元，</w:t>
      </w:r>
      <w:r>
        <w:rPr>
          <w:rFonts w:hint="eastAsia" w:eastAsia="仿宋_GB2312" w:cs="Times New Roman"/>
          <w:sz w:val="32"/>
          <w:szCs w:val="32"/>
          <w:highlight w:val="none"/>
          <w:lang w:val="en-US" w:eastAsia="zh-CN"/>
        </w:rPr>
        <w:t>其他</w:t>
      </w:r>
      <w:r>
        <w:rPr>
          <w:rFonts w:hint="default" w:ascii="Times New Roman" w:hAnsi="Times New Roman" w:eastAsia="仿宋_GB2312" w:cs="Times New Roman"/>
          <w:sz w:val="32"/>
          <w:szCs w:val="32"/>
          <w:highlight w:val="none"/>
          <w:lang w:val="en-US" w:eastAsia="zh-CN"/>
        </w:rPr>
        <w:t>资金及时</w:t>
      </w:r>
      <w:r>
        <w:rPr>
          <w:rFonts w:hint="eastAsia" w:eastAsia="仿宋_GB2312" w:cs="Times New Roman"/>
          <w:sz w:val="32"/>
          <w:szCs w:val="32"/>
          <w:highlight w:val="none"/>
          <w:lang w:val="en-US" w:eastAsia="zh-CN"/>
        </w:rPr>
        <w:t>拨付</w:t>
      </w:r>
      <w:r>
        <w:rPr>
          <w:rFonts w:hint="default" w:ascii="Times New Roman" w:hAnsi="Times New Roman" w:eastAsia="仿宋_GB2312" w:cs="Times New Roman"/>
          <w:sz w:val="32"/>
          <w:szCs w:val="32"/>
          <w:highlight w:val="none"/>
          <w:lang w:val="en-US" w:eastAsia="zh-CN"/>
        </w:rPr>
        <w:t>到位，到位率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%，预算资金按计划进度执行</w:t>
      </w:r>
      <w:r>
        <w:rPr>
          <w:rFonts w:hint="default" w:ascii="Times New Roman" w:hAnsi="Times New Roman" w:eastAsia="仿宋_GB2312" w:cs="Times New Roman"/>
          <w:sz w:val="32"/>
          <w:szCs w:val="32"/>
          <w:lang w:val="en-US"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（2）预算执行率</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预算编制较为详细，项目资金支出总体能够按照预算执行，</w:t>
      </w:r>
      <w:r>
        <w:rPr>
          <w:rFonts w:hint="default" w:ascii="Times New Roman" w:hAnsi="Times New Roman" w:eastAsia="仿宋_GB2312" w:cs="Times New Roman"/>
          <w:sz w:val="32"/>
          <w:szCs w:val="32"/>
          <w:highlight w:val="none"/>
          <w:lang w:val="en-US" w:eastAsia="zh-CN"/>
        </w:rPr>
        <w:t>预算资金支出</w:t>
      </w:r>
      <w:r>
        <w:rPr>
          <w:rFonts w:hint="eastAsia" w:eastAsia="仿宋_GB2312" w:cs="Times New Roman"/>
          <w:sz w:val="32"/>
          <w:szCs w:val="32"/>
          <w:highlight w:val="none"/>
          <w:lang w:val="en-US" w:eastAsia="zh-CN"/>
        </w:rPr>
        <w:t>4.5</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lang w:val="en-US"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2.组织实施</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（1）管理制度健全性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在制度设计上，我们注重了制度的科学性与可操作性，确保制度能够切实指导项目的执行与管理。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p>
      <w:pPr>
        <w:pStyle w:val="14"/>
        <w:numPr>
          <w:ilvl w:val="0"/>
          <w:numId w:val="4"/>
        </w:numPr>
        <w:spacing w:line="560" w:lineRule="exact"/>
        <w:ind w:firstLine="643"/>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w:t>
      </w:r>
      <w:r>
        <w:rPr>
          <w:rFonts w:hint="default" w:ascii="Times New Roman" w:hAnsi="Times New Roman" w:eastAsia="楷体_GB2312" w:cs="Times New Roman"/>
          <w:b/>
          <w:bCs/>
          <w:sz w:val="32"/>
          <w:szCs w:val="32"/>
          <w:lang w:val="en-US" w:eastAsia="zh-CN"/>
        </w:rPr>
        <w:t>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项目产出类指标包括产出数量、产出质量、产出时效、产出成本四方面的内容，由</w:t>
      </w:r>
      <w:r>
        <w:rPr>
          <w:rFonts w:hint="eastAsia"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val="en-US" w:eastAsia="zh-CN"/>
        </w:rPr>
        <w:t>个三级指标构成，权重分为40分，实际得分</w:t>
      </w:r>
      <w:r>
        <w:rPr>
          <w:rFonts w:hint="eastAsia" w:eastAsia="仿宋_GB2312" w:cs="Times New Roman"/>
          <w:sz w:val="32"/>
          <w:szCs w:val="32"/>
          <w:highlight w:val="none"/>
          <w:lang w:val="en-US" w:eastAsia="zh-CN"/>
        </w:rPr>
        <w:t>40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%。具体产出指标完成情况如下：</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pPr>
        <w:shd w:val="clear"/>
        <w:spacing w:line="600" w:lineRule="exact"/>
        <w:ind w:firstLine="640" w:firstLineChars="200"/>
        <w:outlineLvl w:val="0"/>
        <w:rPr>
          <w:rFonts w:hint="eastAsia" w:ascii="Times New Roman" w:hAnsi="Times New Roman" w:eastAsia="仿宋_GB2312" w:cs="Times New Roman"/>
          <w:highlight w:val="none"/>
          <w:lang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保障编外人员人数</w:t>
      </w:r>
      <w:r>
        <w:rPr>
          <w:rFonts w:hint="default" w:ascii="Times New Roman" w:hAnsi="Times New Roman" w:eastAsia="仿宋_GB2312" w:cs="Times New Roman"/>
          <w:sz w:val="32"/>
          <w:szCs w:val="32"/>
          <w:highlight w:val="none"/>
        </w:rPr>
        <w:t>，指标值： &gt;=</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人，实际完成值：</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 xml:space="preserve">人，指标完成率 </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达到了项目的预期目标</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日常工作运转率</w:t>
      </w:r>
      <w:r>
        <w:rPr>
          <w:rFonts w:hint="default" w:ascii="Times New Roman" w:hAnsi="Times New Roman" w:eastAsia="仿宋_GB2312" w:cs="Times New Roman"/>
          <w:sz w:val="32"/>
          <w:szCs w:val="32"/>
          <w:highlight w:val="none"/>
        </w:rPr>
        <w:t xml:space="preserve">  ，指标值：=100%实际完成值：100%，指标完成率 </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达到了项目的预期目标</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：编外人员工资发放及时率</w:t>
      </w:r>
      <w:r>
        <w:rPr>
          <w:rFonts w:hint="eastAsia" w:eastAsia="仿宋_GB2312" w:cs="Times New Roman"/>
          <w:sz w:val="32"/>
          <w:szCs w:val="32"/>
          <w:highlight w:val="none"/>
          <w:lang w:val="en-US" w:eastAsia="zh-CN"/>
        </w:rPr>
        <w:t xml:space="preserve"> </w:t>
      </w:r>
      <w:r>
        <w:rPr>
          <w:rFonts w:hint="default" w:ascii="Times New Roman" w:hAnsi="Times New Roman" w:eastAsia="仿宋_GB2312" w:cs="Times New Roman"/>
          <w:sz w:val="32"/>
          <w:szCs w:val="32"/>
          <w:highlight w:val="none"/>
        </w:rPr>
        <w:t>，指标值：=100%，实际完成值：=100%</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达到了项目的预期目标</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eastAsia" w:ascii="Times New Roman" w:hAnsi="Times New Roman" w:eastAsia="仿宋_GB2312" w:cs="Times New Roman"/>
          <w:sz w:val="32"/>
          <w:szCs w:val="32"/>
          <w:highlight w:val="none"/>
          <w:lang w:val="en-US" w:eastAsia="zh-CN"/>
        </w:rPr>
        <w:t>④经济成本指标：</w:t>
      </w: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1：编外人员工资发放支出标</w:t>
      </w:r>
      <w:r>
        <w:rPr>
          <w:rFonts w:hint="default" w:ascii="Times New Roman" w:hAnsi="Times New Roman" w:eastAsia="仿宋_GB2312" w:cs="Times New Roman"/>
          <w:sz w:val="32"/>
          <w:szCs w:val="32"/>
          <w:highlight w:val="none"/>
        </w:rPr>
        <w:t>指标值：&lt;=</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万元/年</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 xml:space="preserve">万元/年，指标完成率 </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2：日常办公运转经费，</w:t>
      </w:r>
      <w:r>
        <w:rPr>
          <w:rFonts w:hint="default" w:ascii="Times New Roman" w:hAnsi="Times New Roman" w:eastAsia="仿宋_GB2312" w:cs="Times New Roman"/>
          <w:sz w:val="32"/>
          <w:szCs w:val="32"/>
          <w:highlight w:val="none"/>
        </w:rPr>
        <w:t>指标值：&lt;=</w:t>
      </w:r>
      <w:r>
        <w:rPr>
          <w:rFonts w:hint="eastAsia" w:eastAsia="仿宋_GB2312" w:cs="Times New Roman"/>
          <w:sz w:val="32"/>
          <w:szCs w:val="32"/>
          <w:highlight w:val="none"/>
          <w:lang w:val="en-US" w:eastAsia="zh-CN"/>
        </w:rPr>
        <w:t>1.5</w:t>
      </w:r>
      <w:r>
        <w:rPr>
          <w:rFonts w:hint="default" w:ascii="Times New Roman" w:hAnsi="Times New Roman" w:eastAsia="仿宋_GB2312" w:cs="Times New Roman"/>
          <w:sz w:val="32"/>
          <w:szCs w:val="32"/>
          <w:highlight w:val="none"/>
        </w:rPr>
        <w:t>万元/年</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1.5</w:t>
      </w:r>
      <w:r>
        <w:rPr>
          <w:rFonts w:hint="default" w:ascii="Times New Roman" w:hAnsi="Times New Roman" w:eastAsia="仿宋_GB2312" w:cs="Times New Roman"/>
          <w:sz w:val="32"/>
          <w:szCs w:val="32"/>
          <w:highlight w:val="none"/>
        </w:rPr>
        <w:t xml:space="preserve">万元/年，指标完成率 </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pStyle w:val="14"/>
        <w:numPr>
          <w:ilvl w:val="0"/>
          <w:numId w:val="4"/>
        </w:numPr>
        <w:spacing w:line="560" w:lineRule="exact"/>
        <w:ind w:firstLine="643"/>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项目效益情况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项目效益类指标包括项目实施效益和满意度两方面的内容，由</w:t>
      </w:r>
      <w:r>
        <w:rPr>
          <w:rFonts w:hint="eastAsia" w:eastAsia="仿宋_GB2312" w:cs="Times New Roman"/>
          <w:sz w:val="32"/>
          <w:szCs w:val="32"/>
          <w:lang w:val="en-US" w:eastAsia="zh-CN"/>
        </w:rPr>
        <w:t>3</w:t>
      </w:r>
      <w:r>
        <w:rPr>
          <w:rFonts w:hint="default" w:ascii="Times New Roman" w:hAnsi="Times New Roman" w:eastAsia="仿宋_GB2312" w:cs="Times New Roman"/>
          <w:sz w:val="32"/>
          <w:szCs w:val="32"/>
          <w:highlight w:val="none"/>
          <w:lang w:val="en-US" w:eastAsia="zh-CN"/>
        </w:rPr>
        <w:t>个三级指标构成，权重分为20分，实际得分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%。具体效益指标及满意度指标完成情况如下：</w:t>
      </w:r>
    </w:p>
    <w:p>
      <w:pPr>
        <w:numPr>
          <w:ilvl w:val="0"/>
          <w:numId w:val="5"/>
        </w:num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实施效益</w:t>
      </w:r>
    </w:p>
    <w:p>
      <w:pPr>
        <w:shd w:val="clear"/>
        <w:spacing w:line="600" w:lineRule="exact"/>
        <w:ind w:firstLine="640" w:firstLineChars="200"/>
        <w:outlineLvl w:val="0"/>
        <w:rPr>
          <w:rFonts w:hint="eastAsia"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①社会效益指标：提高编外人员工作积极性，指标值：有效提高，实际完成值：有效提高，指标完成率</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%，偏差原因：</w:t>
      </w:r>
      <w:r>
        <w:rPr>
          <w:rFonts w:hint="eastAsia" w:ascii="Times New Roman" w:hAnsi="Times New Roman" w:eastAsia="仿宋_GB2312" w:cs="Times New Roman"/>
          <w:sz w:val="32"/>
          <w:szCs w:val="32"/>
          <w:lang w:val="en-US" w:eastAsia="zh-CN"/>
        </w:rPr>
        <w:t>无</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xml:space="preserve">②社会效益指标：提高职工日常工作效率和质量，指标值：有效提高，实际完成值：有效提高，指标完成率 </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 xml:space="preserve"> %，偏差原因：</w:t>
      </w:r>
      <w:r>
        <w:rPr>
          <w:rFonts w:hint="eastAsia" w:ascii="Times New Roman" w:hAnsi="Times New Roman" w:eastAsia="仿宋_GB2312" w:cs="Times New Roman"/>
          <w:sz w:val="32"/>
          <w:szCs w:val="32"/>
          <w:lang w:val="en-US" w:eastAsia="zh-CN"/>
        </w:rPr>
        <w:t>无</w:t>
      </w:r>
      <w:r>
        <w:rPr>
          <w:rFonts w:hint="default" w:ascii="Times New Roman" w:hAnsi="Times New Roman" w:eastAsia="仿宋_GB2312" w:cs="Times New Roman"/>
          <w:sz w:val="32"/>
          <w:szCs w:val="32"/>
          <w:lang w:val="en-US" w:eastAsia="zh-CN"/>
        </w:rPr>
        <w:t>。</w:t>
      </w:r>
    </w:p>
    <w:p>
      <w:pPr>
        <w:numPr>
          <w:ilvl w:val="0"/>
          <w:numId w:val="5"/>
        </w:numPr>
        <w:shd w:val="clear"/>
        <w:spacing w:line="600" w:lineRule="exact"/>
        <w:ind w:left="0" w:leftChars="0"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满意度指标</w:t>
      </w:r>
    </w:p>
    <w:p>
      <w:pPr>
        <w:numPr>
          <w:ilvl w:val="0"/>
          <w:numId w:val="0"/>
        </w:numPr>
        <w:shd w:val="clear"/>
        <w:spacing w:line="600" w:lineRule="exact"/>
        <w:ind w:leftChars="200"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单位职工满意度，指标值：&gt;=9</w:t>
      </w: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%，实际完成值：9</w:t>
      </w: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%，指标完成率</w:t>
      </w:r>
      <w:r>
        <w:rPr>
          <w:rFonts w:hint="eastAsia" w:ascii="Times New Roman" w:hAnsi="Times New Roman" w:eastAsia="仿宋_GB2312" w:cs="Times New Roman"/>
          <w:sz w:val="32"/>
          <w:szCs w:val="32"/>
          <w:lang w:val="en-US" w:eastAsia="zh-CN"/>
        </w:rPr>
        <w:t xml:space="preserve"> 100</w:t>
      </w:r>
      <w:r>
        <w:rPr>
          <w:rFonts w:hint="default" w:ascii="Times New Roman" w:hAnsi="Times New Roman" w:eastAsia="仿宋_GB2312" w:cs="Times New Roman"/>
          <w:sz w:val="32"/>
          <w:szCs w:val="32"/>
          <w:lang w:val="en-US" w:eastAsia="zh-CN"/>
        </w:rPr>
        <w:t>%，偏差原因：</w:t>
      </w:r>
      <w:r>
        <w:rPr>
          <w:rFonts w:hint="eastAsia" w:ascii="Times New Roman" w:hAnsi="Times New Roman" w:eastAsia="仿宋_GB2312" w:cs="Times New Roman"/>
          <w:sz w:val="32"/>
          <w:szCs w:val="32"/>
          <w:lang w:val="en-US" w:eastAsia="zh-CN"/>
        </w:rPr>
        <w:t>无</w:t>
      </w:r>
    </w:p>
    <w:p>
      <w:pPr>
        <w:spacing w:line="560" w:lineRule="exact"/>
        <w:ind w:firstLine="643" w:firstLineChars="200"/>
        <w:rPr>
          <w:rFonts w:hint="default" w:ascii="Times New Roman" w:hAnsi="Times New Roman" w:eastAsia="楷体_GB2312" w:cs="Times New Roman"/>
          <w:b/>
          <w:bCs/>
          <w:sz w:val="32"/>
          <w:szCs w:val="32"/>
          <w:lang w:val="en-US" w:eastAsia="zh-Hans"/>
        </w:rPr>
      </w:pPr>
      <w:r>
        <w:rPr>
          <w:rFonts w:hint="default" w:ascii="Times New Roman" w:hAnsi="Times New Roman" w:eastAsia="楷体_GB2312" w:cs="Times New Roman"/>
          <w:b/>
          <w:bCs/>
          <w:sz w:val="32"/>
          <w:szCs w:val="32"/>
          <w:lang w:val="en-US" w:eastAsia="zh-CN"/>
        </w:rPr>
        <w:t>（五）</w:t>
      </w:r>
      <w:r>
        <w:rPr>
          <w:rFonts w:hint="default" w:ascii="Times New Roman" w:hAnsi="Times New Roman" w:eastAsia="楷体_GB2312" w:cs="Times New Roman"/>
          <w:b/>
          <w:bCs/>
          <w:sz w:val="32"/>
          <w:szCs w:val="32"/>
          <w:lang w:val="en-US" w:eastAsia="zh-Hans"/>
        </w:rPr>
        <w:t>预算执行进度与绩效指标总体完成率偏差</w:t>
      </w:r>
    </w:p>
    <w:p>
      <w:pPr>
        <w:shd w:val="clear"/>
        <w:spacing w:line="600" w:lineRule="exact"/>
        <w:ind w:firstLine="640" w:firstLineChars="200"/>
        <w:outlineLvl w:val="0"/>
        <w:rPr>
          <w:rFonts w:hint="eastAsia" w:eastAsia="黑体" w:cs="Times New Roman"/>
          <w:sz w:val="32"/>
          <w:szCs w:val="32"/>
          <w:lang w:val="en-US" w:eastAsia="zh-CN"/>
        </w:rPr>
      </w:pPr>
      <w:r>
        <w:rPr>
          <w:rFonts w:hint="eastAsia" w:ascii="Times New Roman" w:hAnsi="Times New Roman" w:eastAsia="仿宋_GB2312" w:cs="Times New Roman"/>
          <w:sz w:val="32"/>
          <w:szCs w:val="32"/>
          <w:lang w:val="en-US" w:eastAsia="zh-CN"/>
        </w:rPr>
        <w:t>2024年单位自有资金收入</w:t>
      </w:r>
      <w:r>
        <w:rPr>
          <w:rFonts w:hint="default" w:ascii="Times New Roman" w:hAnsi="Times New Roman" w:eastAsia="仿宋_GB2312" w:cs="Times New Roman"/>
          <w:sz w:val="32"/>
          <w:szCs w:val="32"/>
          <w:lang w:val="en-US" w:eastAsia="zh-CN"/>
        </w:rPr>
        <w:t>项目年初预算</w:t>
      </w:r>
      <w:r>
        <w:rPr>
          <w:rFonts w:hint="eastAsia" w:eastAsia="仿宋_GB2312" w:cs="Times New Roman"/>
          <w:sz w:val="32"/>
          <w:szCs w:val="32"/>
          <w:lang w:val="en-US" w:eastAsia="zh-CN"/>
        </w:rPr>
        <w:t>4.5</w:t>
      </w:r>
      <w:r>
        <w:rPr>
          <w:rFonts w:hint="default" w:ascii="Times New Roman" w:hAnsi="Times New Roman" w:eastAsia="仿宋_GB2312" w:cs="Times New Roman"/>
          <w:sz w:val="32"/>
          <w:szCs w:val="32"/>
          <w:lang w:val="en-US" w:eastAsia="zh-CN"/>
        </w:rPr>
        <w:t>万元，全年预算</w:t>
      </w:r>
      <w:r>
        <w:rPr>
          <w:rFonts w:hint="eastAsia" w:eastAsia="仿宋_GB2312" w:cs="Times New Roman"/>
          <w:sz w:val="32"/>
          <w:szCs w:val="32"/>
          <w:lang w:val="en-US" w:eastAsia="zh-CN"/>
        </w:rPr>
        <w:t>4.5</w:t>
      </w:r>
      <w:r>
        <w:rPr>
          <w:rFonts w:hint="default" w:ascii="Times New Roman" w:hAnsi="Times New Roman" w:eastAsia="仿宋_GB2312" w:cs="Times New Roman"/>
          <w:sz w:val="32"/>
          <w:szCs w:val="32"/>
          <w:lang w:val="en-US" w:eastAsia="zh-CN"/>
        </w:rPr>
        <w:t>万元，实际支出</w:t>
      </w:r>
      <w:r>
        <w:rPr>
          <w:rFonts w:hint="eastAsia" w:eastAsia="仿宋_GB2312" w:cs="Times New Roman"/>
          <w:sz w:val="32"/>
          <w:szCs w:val="32"/>
          <w:lang w:val="en-US" w:eastAsia="zh-CN"/>
        </w:rPr>
        <w:t>4.5</w:t>
      </w:r>
      <w:r>
        <w:rPr>
          <w:rFonts w:hint="default" w:ascii="Times New Roman" w:hAnsi="Times New Roman" w:eastAsia="仿宋_GB2312" w:cs="Times New Roman"/>
          <w:sz w:val="32"/>
          <w:szCs w:val="32"/>
          <w:lang w:val="en-US" w:eastAsia="zh-CN"/>
        </w:rPr>
        <w:t>万元，预算执行率为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%，项目绩效指标总体完成率为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，无偏差。</w:t>
      </w:r>
    </w:p>
    <w:p>
      <w:pPr>
        <w:spacing w:line="560" w:lineRule="exact"/>
        <w:ind w:firstLine="640" w:firstLineChars="200"/>
        <w:rPr>
          <w:rStyle w:val="19"/>
          <w:rFonts w:hint="default" w:ascii="Times New Roman" w:hAnsi="Times New Roman" w:cs="Times New Roman"/>
          <w:color w:val="auto"/>
        </w:rPr>
      </w:pPr>
      <w:r>
        <w:rPr>
          <w:rFonts w:hint="eastAsia" w:eastAsia="黑体" w:cs="Times New Roman"/>
          <w:sz w:val="32"/>
          <w:szCs w:val="32"/>
          <w:lang w:val="en-US" w:eastAsia="zh-CN"/>
        </w:rPr>
        <w:t>五</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主要经验及做法、存在的问题及原因分析</w:t>
      </w:r>
    </w:p>
    <w:p>
      <w:pPr>
        <w:spacing w:line="560" w:lineRule="exact"/>
        <w:ind w:firstLine="627" w:firstLineChars="200"/>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12"/>
        <w:spacing w:before="0" w:after="0" w:line="560" w:lineRule="exact"/>
        <w:ind w:firstLine="640" w:firstLineChars="200"/>
        <w:jc w:val="left"/>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严格坚持先做事、后验收、再拨付的原则，</w:t>
      </w:r>
      <w:r>
        <w:rPr>
          <w:rFonts w:hint="eastAsia" w:ascii="Times New Roman" w:hAnsi="Times New Roman" w:eastAsia="仿宋_GB2312" w:cs="Times New Roman"/>
          <w:b w:val="0"/>
          <w:bCs w:val="0"/>
          <w:kern w:val="2"/>
          <w:lang w:eastAsia="zh-CN"/>
        </w:rPr>
        <w:t>杜绝</w:t>
      </w:r>
      <w:r>
        <w:rPr>
          <w:rFonts w:hint="default" w:ascii="Times New Roman" w:hAnsi="Times New Roman" w:eastAsia="仿宋_GB2312" w:cs="Times New Roman"/>
          <w:b w:val="0"/>
          <w:bCs w:val="0"/>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val="0"/>
        <w:keepLines w:val="0"/>
        <w:pageBreakBefore w:val="0"/>
        <w:widowControl w:val="0"/>
        <w:numPr>
          <w:ilvl w:val="0"/>
          <w:numId w:val="6"/>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2.因轮岗、调动</w:t>
      </w:r>
      <w:r>
        <w:rPr>
          <w:rFonts w:hint="eastAsia" w:ascii="Times New Roman" w:hAnsi="Times New Roman" w:eastAsia="仿宋_GB2312" w:cs="Times New Roman"/>
          <w:sz w:val="32"/>
          <w:szCs w:val="32"/>
          <w:highlight w:val="none"/>
          <w:lang w:val="en-US" w:eastAsia="zh-CN"/>
        </w:rPr>
        <w:t>等</w:t>
      </w:r>
      <w:r>
        <w:rPr>
          <w:rFonts w:hint="default" w:ascii="Times New Roman" w:hAnsi="Times New Roman" w:eastAsia="仿宋_GB2312" w:cs="Times New Roman"/>
          <w:sz w:val="32"/>
          <w:szCs w:val="32"/>
          <w:highlight w:val="none"/>
          <w:lang w:val="en-US" w:eastAsia="zh-CN"/>
        </w:rPr>
        <w:t>因素使我单位绩效工作人员流动频繁，</w:t>
      </w:r>
      <w:r>
        <w:rPr>
          <w:rFonts w:hint="eastAsia" w:ascii="Times New Roman" w:hAnsi="Times New Roman" w:eastAsia="仿宋_GB2312" w:cs="Times New Roman"/>
          <w:sz w:val="32"/>
          <w:szCs w:val="32"/>
          <w:highlight w:val="none"/>
          <w:lang w:val="en-US" w:eastAsia="zh-CN"/>
        </w:rPr>
        <w:t>造成</w:t>
      </w:r>
      <w:r>
        <w:rPr>
          <w:rFonts w:hint="default" w:ascii="Times New Roman" w:hAnsi="Times New Roman" w:eastAsia="仿宋_GB2312" w:cs="Times New Roman"/>
          <w:sz w:val="32"/>
          <w:szCs w:val="32"/>
          <w:highlight w:val="none"/>
          <w:lang w:val="en-US" w:eastAsia="zh-CN"/>
        </w:rPr>
        <w:t>工作衔接不到位的情况。</w:t>
      </w:r>
    </w:p>
    <w:p>
      <w:pPr>
        <w:spacing w:line="560" w:lineRule="exact"/>
        <w:ind w:firstLine="640" w:firstLineChars="200"/>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有关建议</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1.多进行有关绩效管理工作方面的培训。积极组织第三方开展绩效管理工作培训，进一步夯实业务基础，提高我单位绩效人员水平。</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2.专门设定对绩效工作人员定职、定岗、定责等相关制度措施，进一步提升我单位绩效管理工作业务水平，扎实做好绩效管理工作。</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shd w:val="clear"/>
        <w:spacing w:line="600" w:lineRule="exact"/>
        <w:ind w:firstLine="640" w:firstLineChars="200"/>
        <w:outlineLvl w:val="0"/>
        <w:rPr>
          <w:rFonts w:hint="default" w:ascii="Times New Roman" w:hAnsi="Times New Roman" w:cs="Times New Roman"/>
          <w:sz w:val="22"/>
          <w:szCs w:val="28"/>
        </w:rPr>
      </w:pPr>
      <w:r>
        <w:rPr>
          <w:rFonts w:hint="default" w:ascii="Times New Roman" w:hAnsi="Times New Roman" w:eastAsia="仿宋_GB2312" w:cs="Times New Roman"/>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sz w:val="36"/>
          <w:szCs w:val="32"/>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spacing w:line="560" w:lineRule="exact"/>
        <w:ind w:firstLine="640" w:firstLineChars="200"/>
        <w:rPr>
          <w:rFonts w:hint="default" w:ascii="Times New Roman" w:hAnsi="Times New Roman" w:eastAsia="黑体" w:cs="Times New Roman"/>
          <w:sz w:val="32"/>
          <w:szCs w:val="32"/>
        </w:rPr>
      </w:pPr>
      <w:r>
        <w:rPr>
          <w:rFonts w:hint="eastAsia" w:eastAsia="黑体" w:cs="Times New Roman"/>
          <w:sz w:val="32"/>
          <w:szCs w:val="32"/>
          <w:lang w:val="en-US" w:eastAsia="zh-CN"/>
        </w:rPr>
        <w:t>七</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其他需要说</w:t>
      </w:r>
      <w:bookmarkStart w:id="0" w:name="page8"/>
      <w:bookmarkEnd w:id="0"/>
      <w:r>
        <w:rPr>
          <w:rFonts w:hint="default" w:ascii="Times New Roman" w:hAnsi="Times New Roman" w:eastAsia="黑体" w:cs="Times New Roman"/>
          <w:sz w:val="32"/>
          <w:szCs w:val="32"/>
        </w:rPr>
        <w:t>明的问题</w:t>
      </w:r>
    </w:p>
    <w:p>
      <w:pPr>
        <w:pStyle w:val="2"/>
        <w:spacing w:after="0" w:line="560" w:lineRule="exact"/>
        <w:ind w:left="0" w:leftChars="0" w:firstLine="640"/>
        <w:rPr>
          <w:rFonts w:hint="default" w:ascii="Times New Roman" w:hAnsi="Times New Roman" w:eastAsia="仿宋_GB2312" w:cs="Times New Roman"/>
          <w:sz w:val="32"/>
          <w:szCs w:val="32"/>
          <w:lang w:eastAsia="zh-Hans"/>
        </w:rPr>
      </w:pPr>
      <w:r>
        <w:rPr>
          <w:rFonts w:hint="default" w:ascii="Times New Roman" w:hAnsi="Times New Roman" w:eastAsia="仿宋_GB2312" w:cs="Times New Roman"/>
          <w:sz w:val="32"/>
          <w:szCs w:val="32"/>
          <w:lang w:eastAsia="zh-Hans"/>
        </w:rPr>
        <w:t>本项目无其他需说明的问题。</w:t>
      </w:r>
    </w:p>
    <w:p>
      <w:pPr>
        <w:pStyle w:val="2"/>
        <w:spacing w:after="0" w:line="560" w:lineRule="exact"/>
        <w:ind w:left="0" w:leftChars="0" w:firstLine="0" w:firstLineChars="0"/>
        <w:rPr>
          <w:rFonts w:hint="default" w:ascii="Times New Roman" w:hAnsi="Times New Roman" w:eastAsia="仿宋_GB2312" w:cs="Times New Roman"/>
          <w:sz w:val="32"/>
          <w:szCs w:val="32"/>
        </w:rPr>
      </w:pPr>
    </w:p>
    <w:p>
      <w:pPr>
        <w:pStyle w:val="2"/>
        <w:spacing w:after="0" w:line="560" w:lineRule="exact"/>
        <w:ind w:left="0" w:leftChars="0" w:firstLine="0" w:firstLineChars="0"/>
        <w:rPr>
          <w:rFonts w:hint="default" w:ascii="Times New Roman" w:hAnsi="Times New Roman" w:eastAsia="仿宋_GB2312" w:cs="Times New Roman"/>
          <w:sz w:val="32"/>
          <w:szCs w:val="32"/>
        </w:rPr>
      </w:pPr>
    </w:p>
    <w:p>
      <w:pPr>
        <w:spacing w:line="600" w:lineRule="exact"/>
        <w:rPr>
          <w:rFonts w:hint="eastAsia" w:ascii="Times New Roman" w:hAnsi="Times New Roman" w:eastAsia="黑体" w:cs="Times New Roman"/>
          <w:sz w:val="32"/>
          <w:szCs w:val="32"/>
          <w:lang w:val="en-US" w:eastAsia="zh-CN"/>
        </w:rPr>
        <w:sectPr>
          <w:footerReference r:id="rId3" w:type="default"/>
          <w:pgSz w:w="11906" w:h="16838"/>
          <w:pgMar w:top="2098" w:right="1531" w:bottom="1984" w:left="1531" w:header="851" w:footer="992" w:gutter="0"/>
          <w:pgNumType w:start="1"/>
          <w:cols w:space="425" w:num="1"/>
          <w:docGrid w:type="lines" w:linePitch="312" w:charSpace="0"/>
        </w:sectPr>
      </w:pPr>
    </w:p>
    <w:p>
      <w:pPr>
        <w:spacing w:line="600" w:lineRule="exact"/>
        <w:rPr>
          <w:rFonts w:hint="eastAsia" w:ascii="仿宋_GB2312" w:hAnsi="仿宋_GB2312" w:eastAsia="仿宋_GB2312" w:cs="仿宋_GB2312"/>
          <w:b/>
          <w:bCs/>
          <w:kern w:val="0"/>
          <w:sz w:val="28"/>
          <w:szCs w:val="40"/>
          <w:lang w:val="en-US" w:eastAsia="zh-CN" w:bidi="ar-SA"/>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1</w:t>
      </w:r>
    </w:p>
    <w:p>
      <w:pPr>
        <w:pStyle w:val="20"/>
        <w:ind w:firstLine="562"/>
        <w:jc w:val="center"/>
        <w:rPr>
          <w:rFonts w:hint="eastAsia" w:ascii="仿宋_GB2312" w:hAnsi="仿宋_GB2312" w:eastAsia="仿宋_GB2312" w:cs="仿宋_GB2312"/>
          <w:sz w:val="28"/>
          <w:szCs w:val="40"/>
        </w:rPr>
      </w:pPr>
      <w:bookmarkStart w:id="1" w:name="_Toc30064_WPSOffice_Level1"/>
      <w:bookmarkStart w:id="2" w:name="_Toc26499_WPSOffice_Level2"/>
      <w:r>
        <w:rPr>
          <w:rFonts w:hint="eastAsia" w:ascii="仿宋_GB2312" w:hAnsi="仿宋_GB2312" w:eastAsia="仿宋_GB2312" w:cs="仿宋_GB2312"/>
          <w:b/>
          <w:bCs/>
          <w:kern w:val="0"/>
          <w:sz w:val="28"/>
          <w:szCs w:val="40"/>
          <w:highlight w:val="none"/>
          <w:lang w:val="en-US" w:eastAsia="zh-CN" w:bidi="ar-SA"/>
        </w:rPr>
        <w:t>2024年单位自由资金收入资金</w:t>
      </w:r>
      <w:r>
        <w:rPr>
          <w:rFonts w:hint="default" w:ascii="仿宋_GB2312" w:hAnsi="仿宋_GB2312" w:eastAsia="仿宋_GB2312" w:cs="仿宋_GB2312"/>
          <w:b/>
          <w:bCs/>
          <w:kern w:val="0"/>
          <w:sz w:val="28"/>
          <w:szCs w:val="40"/>
          <w:highlight w:val="none"/>
          <w:lang w:val="en-US" w:eastAsia="zh-CN" w:bidi="ar-SA"/>
        </w:rPr>
        <w:t>项目</w:t>
      </w:r>
      <w:r>
        <w:rPr>
          <w:rFonts w:hint="eastAsia" w:ascii="仿宋_GB2312" w:hAnsi="仿宋_GB2312" w:eastAsia="仿宋_GB2312" w:cs="仿宋_GB2312"/>
          <w:b/>
          <w:bCs/>
          <w:kern w:val="0"/>
          <w:sz w:val="28"/>
          <w:szCs w:val="40"/>
          <w:highlight w:val="none"/>
          <w:lang w:val="en-US" w:eastAsia="zh-CN" w:bidi="ar-SA"/>
        </w:rPr>
        <w:t>项</w:t>
      </w:r>
      <w:r>
        <w:rPr>
          <w:rFonts w:hint="eastAsia" w:ascii="仿宋_GB2312" w:hAnsi="仿宋_GB2312" w:eastAsia="仿宋_GB2312" w:cs="仿宋_GB2312"/>
          <w:b/>
          <w:bCs/>
          <w:sz w:val="28"/>
          <w:szCs w:val="40"/>
          <w:highlight w:val="none"/>
        </w:rPr>
        <w:t>目绩效评价指标体系及综合</w:t>
      </w:r>
      <w:r>
        <w:rPr>
          <w:rFonts w:hint="eastAsia" w:ascii="仿宋_GB2312" w:hAnsi="仿宋_GB2312" w:eastAsia="仿宋_GB2312" w:cs="仿宋_GB2312"/>
          <w:b/>
          <w:bCs/>
          <w:sz w:val="28"/>
          <w:szCs w:val="40"/>
        </w:rPr>
        <w:t>评分表</w:t>
      </w:r>
      <w:bookmarkEnd w:id="1"/>
      <w:bookmarkEnd w:id="2"/>
    </w:p>
    <w:tbl>
      <w:tblPr>
        <w:tblStyle w:val="15"/>
        <w:tblW w:w="1268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04"/>
        <w:gridCol w:w="1000"/>
        <w:gridCol w:w="1071"/>
        <w:gridCol w:w="1726"/>
        <w:gridCol w:w="5216"/>
        <w:gridCol w:w="1300"/>
        <w:gridCol w:w="136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2" w:hRule="atLeast"/>
          <w:tblHeader/>
          <w:jc w:val="center"/>
        </w:trPr>
        <w:tc>
          <w:tcPr>
            <w:tcW w:w="1004"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一级指标</w:t>
            </w: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二级指标</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三级指标</w:t>
            </w:r>
          </w:p>
        </w:tc>
        <w:tc>
          <w:tcPr>
            <w:tcW w:w="172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指标解释</w:t>
            </w:r>
          </w:p>
        </w:tc>
        <w:tc>
          <w:tcPr>
            <w:tcW w:w="521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指标说明</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权重</w:t>
            </w:r>
          </w:p>
        </w:tc>
        <w:tc>
          <w:tcPr>
            <w:tcW w:w="136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1004"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决策　</w:t>
            </w: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立项依据</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充分性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项目立项是否符合法律法规、相关政策、发展规划以及部门职责，用以反映和考核项目立项依据情况。</w:t>
            </w:r>
          </w:p>
        </w:tc>
        <w:tc>
          <w:tcPr>
            <w:tcW w:w="5216" w:type="dxa"/>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①项目立项是否符合国家法律法规、国民经济发展规划和相关政策；</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②项目立项是否符合行业发展规划和政策要求；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③项目立项是否与部门职责范围相符，属于部门履职所需；</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④项目是否属于公共财政支持范围，是否符合中央、地方事权支出责任划分原则；</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⑤项目是否与相关部门同类项目或部门内部相关项目重复。</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立项程序</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规范性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项目申请、设立过程是否符合相关要求，用以反映和考核项目立项的规范情况。</w:t>
            </w:r>
          </w:p>
        </w:tc>
        <w:tc>
          <w:tcPr>
            <w:tcW w:w="5216" w:type="dxa"/>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①项目是否按照规定的程序申请设立；</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②审批文件、材料是否符合相关要求；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③事前是否已经过必要的可行性研究、专家论证、风险评估、绩效评估、集体决策。</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项目所设定的绩效目标是否依据充分，是否符合客观实际，用以反映和考核项目绩效目标与项目实施的相符情况。</w:t>
            </w:r>
          </w:p>
        </w:tc>
        <w:tc>
          <w:tcPr>
            <w:tcW w:w="5216" w:type="dxa"/>
            <w:shd w:val="clear" w:color="000000"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（如未设定预算绩效目标，也可考核其他工作任务目标）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①项目是否有绩效目标；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②项目绩效目标与实际工作内容是否具有相关性；</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③项目预期产出效益和效果是否符合正常的业绩水平；</w:t>
            </w:r>
          </w:p>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④是否与预算确定的项目投资额或资金量相匹配。</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绩效指标</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明确性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依据绩效目标设定的绩效指标是否清晰、细化、可衡量等，用以反映和考核项目绩效目标的明细化情况。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①是否将项目绩效目标细化分解为具体的绩效指标；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②是否通过清晰、可衡量的指标值予以体现；</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③是否与项目目标任务数或计划数相对应。</w:t>
            </w:r>
            <w:r>
              <w:rPr>
                <w:rFonts w:hint="default" w:ascii="Times New Roman" w:hAnsi="Times New Roman" w:eastAsia="仿宋_GB2312" w:cs="Times New Roman"/>
                <w:color w:val="000000"/>
                <w:kern w:val="0"/>
                <w:sz w:val="18"/>
                <w:szCs w:val="18"/>
              </w:rPr>
              <w:br w:type="textWrapping"/>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资金投入</w:t>
            </w: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预算编制</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科学性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项目预算编制是否经过科学论证、有明确标准，资金额度与年度目标是否相适应，用以反映和考核项目预算编制的科学性、合理性情况。</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①预算编制是否经过科学论证；</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②预算内容与项目内容是否匹配；</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③预算额度测算依据是否充分，是否按照标准编制；</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④预算确定的项目投资额或资金量是否与工作任务相匹配。</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资金分配</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项目预算资金分配是否有测算依据，与补助单位或地方实际是否相适应，用以反映和考核项目预算资金分配的科学性、合理性情况。</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①预算资金分配依据是否充分；</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②资金分配额度是否合理，与项目单位或地方实际是否相适应。</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004" w:type="dxa"/>
            <w:vMerge w:val="restart"/>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过程</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实际到位资金与预算资金的比率，用以反映和考核资金落实情况对项目实施的总体保障程度。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资金到位率=（实际到位资金/预算资金）×100%。</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实际到位资金：一定时期（本年度或项目期）内落实到具体项目的资金。</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预算资金：一定时期（本年度或项目期）内预算安排到具体项目的资金。</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项目预算资金是否按照计划执行，用以反映或考核项目预算执行情况。</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预算执行率=（实际支出资金/实际到位资金）×100%。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实际支出资金：一定时期（本年度或项目期）内项目实际拨付的资金。</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资金使用</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合规性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项目资金使用是否符合相关的财务管理制度规定，用以反映和考核项目资金的规范运行情况。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①是否符合国家财经法规和财务管理制度以及有关专项资金管理办法的规定；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②资金的拨付是否有完整的审批程序和手续；</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③是否符合项目预算批复或合同规定的用途；</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④是否存在截留、挤占、挪用、虚列支出等情况。</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组织实施</w:t>
            </w: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管理制度</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健全性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项目实施单位的财务和业务管理制度是否健全，用以反映和考核财务和业务管理制度对项目顺利实施的保障情况。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①是否已制定或具有相应的财务和业务管理制度；</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②财务和业务管理制度是否合法、合规、完整。</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制度执行</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有效性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项目实施是否符合相关管理规定，用以反映和考核相关管理制度的有效执行情况。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①是否遵守相关法律法规和相关管理规定；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②项目调整及支出调整手续是否完备；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③项目合同书、验收报告、技术鉴定等资料是否齐全并及时归档；</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④项目实施的人员条件、场地设备、信息支撑等是否落实到位。</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1004"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w:t>
            </w: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产出数量</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项目实施的实际产出数与计划产出数的比率，用以反映和考核项目产出数量目标的实现程度。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实际完成率=（实际产出数/计划产出数）×100%。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实际产出数：一定时期（本年度或项目期）内项目实际产出的产品或提供的服务数量。</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计划产出数：项目绩效目标确定的在一定时期（本年度或项目期）内计划产出的产品或提供的服务数量。</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产出质量</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项目完成的质量达标产出数与实际产出数的比率，用以反映和考核项目产出质量目标的实现程度。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质量达标率=（质量达标产出数/实际产出数）×100%。</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产出时效</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完成及时性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项目实际完成时间与计划完成时间的比较，用以反映和考核项目产出时效目标的实现程度。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实际完成时间：项目实施单位完成该项目实际所耗用的时间。</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计划完成时间：按照项目实施计划或相关规定完成该项目所需的时间。</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bidi w:val="0"/>
              <w:jc w:val="center"/>
              <w:rPr>
                <w:rFonts w:hint="default" w:ascii="Times New Roman" w:hAnsi="Times New Roman" w:eastAsia="宋体" w:cs="Times New Roman"/>
                <w:kern w:val="2"/>
                <w:sz w:val="21"/>
                <w:szCs w:val="24"/>
                <w:highlight w:val="none"/>
                <w:lang w:val="en-US" w:eastAsia="zh-CN" w:bidi="ar-SA"/>
              </w:rPr>
            </w:pPr>
            <w:r>
              <w:rPr>
                <w:rFonts w:hint="eastAsia"/>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产出成本</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成本节约率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完成项目计划工作目标的实际节约成本与计划成本的比率，用以反映和考核项目的成本节约程度。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成本节约率=[（计划成本-实际成本）/计划成本]×100%。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实际成本：项目实施单位如期、保质、保量完成既定工作目标实际所耗费的支出。</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计划成本：项目实施单位为完成工作目标计划安排的支出，一般以项目预算为参考。</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004"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效益　</w:t>
            </w: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项目效益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实施效益</w:t>
            </w:r>
          </w:p>
        </w:tc>
        <w:tc>
          <w:tcPr>
            <w:tcW w:w="1726" w:type="dxa"/>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项目实施所产生的效益。</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项目实施所产生的社会效益、经济效益、生态效益、可持续影响等。可根据项目实际情况有选择地设置和细化。</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满意度</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社会公众或服务对象对项目实施效果的满意程度。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社会公众或服务对象是指因该项目实施而受到影响的部门（单位）、群体或个人。一般采取社会调查的方式。</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bl>
    <w:p>
      <w:pPr>
        <w:rPr>
          <w:rFonts w:hint="default" w:ascii="Times New Roman" w:hAnsi="Times New Roman" w:cs="Times New Roman"/>
        </w:rPr>
        <w:sectPr>
          <w:pgSz w:w="16838" w:h="11906" w:orient="landscape"/>
          <w:pgMar w:top="2098" w:right="1531" w:bottom="1984" w:left="1531" w:header="851" w:footer="992" w:gutter="0"/>
          <w:cols w:space="425" w:num="1"/>
          <w:docGrid w:type="lines" w:linePitch="312" w:charSpace="0"/>
        </w:sectPr>
      </w:pPr>
    </w:p>
    <w:p>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2</w:t>
      </w:r>
    </w:p>
    <w:p>
      <w:pPr>
        <w:spacing w:line="600" w:lineRule="exact"/>
        <w:rPr>
          <w:rFonts w:hint="eastAsia" w:eastAsia="黑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i w:val="0"/>
          <w:iCs w:val="0"/>
          <w:color w:val="000000"/>
          <w:kern w:val="0"/>
          <w:sz w:val="28"/>
          <w:szCs w:val="28"/>
          <w:u w:val="none"/>
          <w:lang w:val="en-US" w:eastAsia="zh-CN" w:bidi="ar"/>
        </w:rPr>
      </w:pPr>
      <w:r>
        <w:rPr>
          <w:rFonts w:hint="eastAsia" w:ascii="仿宋_GB2312" w:hAnsi="仿宋_GB2312" w:eastAsia="仿宋_GB2312" w:cs="仿宋_GB2312"/>
          <w:b/>
          <w:bCs/>
          <w:i w:val="0"/>
          <w:iCs w:val="0"/>
          <w:color w:val="000000"/>
          <w:kern w:val="0"/>
          <w:sz w:val="28"/>
          <w:szCs w:val="28"/>
          <w:u w:val="none"/>
          <w:lang w:val="en-US" w:eastAsia="zh-CN" w:bidi="ar"/>
        </w:rPr>
        <w:t>项目支出绩效自评表</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bCs/>
          <w:i w:val="0"/>
          <w:iCs w:val="0"/>
          <w:color w:val="000000"/>
          <w:kern w:val="0"/>
          <w:sz w:val="22"/>
          <w:szCs w:val="22"/>
          <w:u w:val="none"/>
          <w:lang w:val="en-US" w:eastAsia="zh-CN" w:bidi="ar"/>
        </w:rPr>
      </w:pPr>
      <w:r>
        <w:rPr>
          <w:rFonts w:hint="default" w:ascii="Times New Roman" w:hAnsi="Times New Roman" w:eastAsia="仿宋_GB2312" w:cs="Times New Roman"/>
          <w:b/>
          <w:bCs/>
          <w:i w:val="0"/>
          <w:iCs w:val="0"/>
          <w:color w:val="000000"/>
          <w:kern w:val="0"/>
          <w:sz w:val="22"/>
          <w:szCs w:val="22"/>
          <w:u w:val="none"/>
          <w:lang w:val="en-US" w:eastAsia="zh-CN" w:bidi="ar"/>
        </w:rPr>
        <w:t>（ 2024年度）</w:t>
      </w:r>
    </w:p>
    <w:tbl>
      <w:tblPr>
        <w:tblStyle w:val="15"/>
        <w:tblW w:w="1417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17"/>
        <w:gridCol w:w="1292"/>
        <w:gridCol w:w="1312"/>
        <w:gridCol w:w="1032"/>
        <w:gridCol w:w="1140"/>
        <w:gridCol w:w="1164"/>
        <w:gridCol w:w="924"/>
        <w:gridCol w:w="837"/>
        <w:gridCol w:w="882"/>
        <w:gridCol w:w="777"/>
        <w:gridCol w:w="1032"/>
        <w:gridCol w:w="830"/>
        <w:gridCol w:w="748"/>
        <w:gridCol w:w="128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项目名称</w:t>
            </w:r>
          </w:p>
        </w:tc>
        <w:tc>
          <w:tcPr>
            <w:tcW w:w="1196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2024年单位资金收入（事业收入）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主管部门</w:t>
            </w:r>
          </w:p>
        </w:tc>
        <w:tc>
          <w:tcPr>
            <w:tcW w:w="557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rPr>
              <w:t>特克斯县</w:t>
            </w:r>
            <w:r>
              <w:rPr>
                <w:rFonts w:hint="eastAsia" w:ascii="仿宋_GB2312" w:hAnsi="仿宋_GB2312" w:eastAsia="仿宋_GB2312" w:cs="仿宋_GB2312"/>
                <w:i w:val="0"/>
                <w:iCs w:val="0"/>
                <w:color w:val="000000"/>
                <w:sz w:val="18"/>
                <w:szCs w:val="18"/>
                <w:u w:val="none"/>
                <w:lang w:val="en-US" w:eastAsia="zh-CN"/>
              </w:rPr>
              <w:t>包扎得尔牧业卫生院</w:t>
            </w:r>
          </w:p>
        </w:tc>
        <w:tc>
          <w:tcPr>
            <w:tcW w:w="1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实施单位</w:t>
            </w:r>
          </w:p>
        </w:tc>
        <w:tc>
          <w:tcPr>
            <w:tcW w:w="467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特克斯县</w:t>
            </w:r>
            <w:r>
              <w:rPr>
                <w:rFonts w:hint="eastAsia" w:ascii="仿宋_GB2312" w:hAnsi="仿宋_GB2312" w:eastAsia="仿宋_GB2312" w:cs="仿宋_GB2312"/>
                <w:i w:val="0"/>
                <w:iCs w:val="0"/>
                <w:color w:val="000000"/>
                <w:sz w:val="18"/>
                <w:szCs w:val="18"/>
                <w:u w:val="none"/>
                <w:lang w:val="en-US" w:eastAsia="zh-CN"/>
              </w:rPr>
              <w:t>包扎得尔牧业卫生院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项目资金</w:t>
            </w:r>
            <w:r>
              <w:rPr>
                <w:rFonts w:hint="eastAsia" w:ascii="仿宋_GB2312" w:hAnsi="仿宋_GB2312" w:eastAsia="仿宋_GB2312" w:cs="仿宋_GB2312"/>
                <w:i w:val="0"/>
                <w:iCs w:val="0"/>
                <w:color w:val="000000"/>
                <w:kern w:val="0"/>
                <w:sz w:val="18"/>
                <w:szCs w:val="18"/>
                <w:u w:val="none"/>
                <w:lang w:val="en-US" w:eastAsia="zh-CN" w:bidi="ar"/>
              </w:rPr>
              <w:br w:type="textWrapping"/>
            </w:r>
            <w:r>
              <w:rPr>
                <w:rFonts w:hint="eastAsia" w:ascii="仿宋_GB2312" w:hAnsi="仿宋_GB2312" w:eastAsia="仿宋_GB2312" w:cs="仿宋_GB2312"/>
                <w:i w:val="0"/>
                <w:iCs w:val="0"/>
                <w:color w:val="000000"/>
                <w:kern w:val="0"/>
                <w:sz w:val="18"/>
                <w:szCs w:val="18"/>
                <w:u w:val="none"/>
                <w:lang w:val="en-US" w:eastAsia="zh-CN" w:bidi="ar"/>
              </w:rPr>
              <w:t>（万元）</w:t>
            </w:r>
          </w:p>
        </w:tc>
        <w:tc>
          <w:tcPr>
            <w:tcW w:w="23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资金来源</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年初预算数</w:t>
            </w:r>
          </w:p>
        </w:tc>
        <w:tc>
          <w:tcPr>
            <w:tcW w:w="2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全年预算数</w:t>
            </w:r>
          </w:p>
        </w:tc>
        <w:tc>
          <w:tcPr>
            <w:tcW w:w="1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全年执行数</w:t>
            </w: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分值权重</w:t>
            </w: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执行率</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3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年度资金总额</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4.5</w:t>
            </w:r>
          </w:p>
        </w:tc>
        <w:tc>
          <w:tcPr>
            <w:tcW w:w="2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4.5</w:t>
            </w:r>
          </w:p>
        </w:tc>
        <w:tc>
          <w:tcPr>
            <w:tcW w:w="1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4.5</w:t>
            </w: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100.00%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3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其中：当年财政拨款</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344"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其他资金</w:t>
            </w:r>
          </w:p>
        </w:tc>
        <w:tc>
          <w:tcPr>
            <w:tcW w:w="1140" w:type="dxa"/>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4.5</w:t>
            </w:r>
          </w:p>
        </w:tc>
        <w:tc>
          <w:tcPr>
            <w:tcW w:w="2088" w:type="dxa"/>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4.5</w:t>
            </w:r>
          </w:p>
        </w:tc>
        <w:tc>
          <w:tcPr>
            <w:tcW w:w="1719" w:type="dxa"/>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年度总体目标</w:t>
            </w:r>
          </w:p>
        </w:tc>
        <w:tc>
          <w:tcPr>
            <w:tcW w:w="8583"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总体目标</w:t>
            </w:r>
          </w:p>
        </w:tc>
        <w:tc>
          <w:tcPr>
            <w:tcW w:w="467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0"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583" w:type="dxa"/>
            <w:gridSpan w:val="8"/>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为人民健康医疗与预防保健服务，常见病多发病的治疗和护理；预防保健。提供以预防保健、基本医疗、公共卫生、健康教育、JHSY、全民健康体检、康复等为主要内容的综合性服务。保障部门单位人员发放工资福利支出 用于开展医疗服务及其他活动中发生的编外人员人员工资、社会保障费、卫生材料费、维修维护费、办公费、水电暖、交通费等费用。</w:t>
            </w:r>
          </w:p>
        </w:tc>
        <w:tc>
          <w:tcPr>
            <w:tcW w:w="467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提供以预防保健、基本医疗、公共卫生、健康教育、全民健康体检、康复等为主要内容的综合性服务。保障部门单位人员发放工资福利支出 用于开展医疗服务及其他活动中发生的编外人员人员工资、社会保障费、卫生材料费、维修维护费、办公费、水电暖、交通费等费用。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绩效指标</w:t>
            </w: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一级指标</w:t>
            </w: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二级指标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三级指标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指标值</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指标值设置依据</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上年完成值</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指标分值权重</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指标赋分规则</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佐证资料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指标实际完成值</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完成率</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指标得分</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产出指标</w:t>
            </w:r>
          </w:p>
        </w:tc>
        <w:tc>
          <w:tcPr>
            <w:tcW w:w="1312"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数量指标</w:t>
            </w:r>
          </w:p>
        </w:tc>
        <w:tc>
          <w:tcPr>
            <w:tcW w:w="1032" w:type="dxa"/>
            <w:tcBorders>
              <w:top w:val="single" w:color="000000" w:sz="4" w:space="0"/>
              <w:left w:val="nil"/>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保障编外人员人数</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&gt;=</w:t>
            </w:r>
            <w:r>
              <w:rPr>
                <w:rFonts w:hint="eastAsia" w:ascii="仿宋_GB2312" w:hAnsi="仿宋_GB2312" w:eastAsia="仿宋_GB2312" w:cs="仿宋_GB2312"/>
                <w:i w:val="0"/>
                <w:iCs w:val="0"/>
                <w:color w:val="000000"/>
                <w:sz w:val="18"/>
                <w:szCs w:val="18"/>
                <w:u w:val="none"/>
                <w:lang w:val="en-US" w:eastAsia="zh-CN"/>
              </w:rPr>
              <w:t>3</w:t>
            </w:r>
            <w:r>
              <w:rPr>
                <w:rFonts w:hint="eastAsia" w:ascii="仿宋_GB2312" w:hAnsi="仿宋_GB2312" w:eastAsia="仿宋_GB2312" w:cs="仿宋_GB2312"/>
                <w:i w:val="0"/>
                <w:iCs w:val="0"/>
                <w:color w:val="000000"/>
                <w:sz w:val="18"/>
                <w:szCs w:val="18"/>
                <w:u w:val="none"/>
              </w:rPr>
              <w:t>人</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val="en-US"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15</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rPr>
            </w:pPr>
            <w:r>
              <w:rPr>
                <w:rFonts w:hint="eastAsia" w:ascii="仿宋_GB2312" w:hAnsi="仿宋_GB2312" w:eastAsia="仿宋_GB2312" w:cs="仿宋_GB2312"/>
                <w:i w:val="0"/>
                <w:iCs w:val="0"/>
                <w:color w:val="000000"/>
                <w:sz w:val="18"/>
                <w:szCs w:val="18"/>
                <w:u w:val="none"/>
                <w:lang w:val="en-US" w:eastAsia="zh-CN"/>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3</w:t>
            </w:r>
            <w:r>
              <w:rPr>
                <w:rFonts w:hint="eastAsia" w:ascii="仿宋_GB2312" w:hAnsi="仿宋_GB2312" w:eastAsia="仿宋_GB2312" w:cs="仿宋_GB2312"/>
                <w:i w:val="0"/>
                <w:iCs w:val="0"/>
                <w:color w:val="000000"/>
                <w:sz w:val="18"/>
                <w:szCs w:val="18"/>
                <w:u w:val="none"/>
              </w:rPr>
              <w:t>人</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15</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质量指标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日常工作运转率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=100%</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w:t>
            </w:r>
            <w:r>
              <w:rPr>
                <w:rFonts w:hint="eastAsia" w:ascii="仿宋_GB2312" w:hAnsi="仿宋_GB2312" w:eastAsia="仿宋_GB2312" w:cs="仿宋_GB2312"/>
                <w:i w:val="0"/>
                <w:iCs w:val="0"/>
                <w:color w:val="000000"/>
                <w:sz w:val="18"/>
                <w:szCs w:val="18"/>
                <w:u w:val="none"/>
              </w:rPr>
              <w:t>00%</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312"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时效指标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编外人员工资发放及时率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=100%</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15</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15</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w:t>
            </w:r>
            <w:r>
              <w:rPr>
                <w:rFonts w:hint="eastAsia" w:ascii="仿宋_GB2312" w:hAnsi="仿宋_GB2312" w:eastAsia="仿宋_GB2312" w:cs="仿宋_GB2312"/>
                <w:i w:val="0"/>
                <w:iCs w:val="0"/>
                <w:color w:val="000000"/>
                <w:sz w:val="18"/>
                <w:szCs w:val="18"/>
                <w:u w:val="none"/>
              </w:rPr>
              <w:t>00%</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15</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成本指标</w:t>
            </w:r>
          </w:p>
        </w:tc>
        <w:tc>
          <w:tcPr>
            <w:tcW w:w="1312" w:type="dxa"/>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red"/>
                <w:u w:val="none"/>
                <w:lang w:val="en-US" w:eastAsia="zh-CN" w:bidi="ar"/>
              </w:rPr>
            </w:pPr>
            <w:r>
              <w:rPr>
                <w:rFonts w:hint="eastAsia" w:ascii="仿宋_GB2312" w:hAnsi="仿宋_GB2312" w:eastAsia="仿宋_GB2312" w:cs="仿宋_GB2312"/>
                <w:i w:val="0"/>
                <w:iCs w:val="0"/>
                <w:color w:val="000000"/>
                <w:kern w:val="0"/>
                <w:sz w:val="18"/>
                <w:szCs w:val="18"/>
                <w:highlight w:val="none"/>
                <w:u w:val="none"/>
                <w:lang w:val="en-US" w:eastAsia="zh-CN" w:bidi="ar"/>
              </w:rPr>
              <w:t>经济成本指标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编外人员工资发放支出标准</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&lt;</w:t>
            </w:r>
            <w:r>
              <w:rPr>
                <w:rFonts w:hint="eastAsia" w:ascii="仿宋_GB2312" w:hAnsi="仿宋_GB2312" w:eastAsia="仿宋_GB2312" w:cs="仿宋_GB2312"/>
                <w:i w:val="0"/>
                <w:iCs w:val="0"/>
                <w:color w:val="000000"/>
                <w:sz w:val="18"/>
                <w:szCs w:val="18"/>
                <w:u w:val="none"/>
                <w:lang w:val="en-US" w:eastAsia="zh-CN"/>
              </w:rPr>
              <w:t>=3</w:t>
            </w:r>
            <w:r>
              <w:rPr>
                <w:rFonts w:hint="eastAsia" w:ascii="仿宋_GB2312" w:hAnsi="仿宋_GB2312" w:eastAsia="仿宋_GB2312" w:cs="仿宋_GB2312"/>
                <w:i w:val="0"/>
                <w:iCs w:val="0"/>
                <w:color w:val="000000"/>
                <w:sz w:val="18"/>
                <w:szCs w:val="18"/>
                <w:u w:val="none"/>
              </w:rPr>
              <w:t>万元/年</w:t>
            </w:r>
          </w:p>
        </w:tc>
        <w:tc>
          <w:tcPr>
            <w:tcW w:w="1164"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882" w:type="dxa"/>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rPr>
            </w:pPr>
            <w:r>
              <w:rPr>
                <w:rFonts w:hint="eastAsia" w:ascii="仿宋_GB2312" w:hAnsi="仿宋_GB2312" w:eastAsia="仿宋_GB2312" w:cs="仿宋_GB2312"/>
                <w:i w:val="0"/>
                <w:iCs w:val="0"/>
                <w:color w:val="000000"/>
                <w:sz w:val="18"/>
                <w:szCs w:val="18"/>
                <w:u w:val="none"/>
                <w:lang w:val="en-US" w:eastAsia="zh-CN"/>
              </w:rPr>
              <w:t>3</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p>
        </w:tc>
        <w:tc>
          <w:tcPr>
            <w:tcW w:w="1312" w:type="dxa"/>
            <w:vMerge w:val="continue"/>
            <w:tcBorders>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none"/>
                <w:u w:val="none"/>
                <w:lang w:val="en-US" w:eastAsia="zh-CN" w:bidi="ar"/>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rPr>
              <w:t>日常办公运转经费</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rPr>
              <w:t>&lt;</w:t>
            </w:r>
            <w:r>
              <w:rPr>
                <w:rFonts w:hint="eastAsia" w:ascii="仿宋_GB2312" w:hAnsi="仿宋_GB2312" w:eastAsia="仿宋_GB2312" w:cs="仿宋_GB2312"/>
                <w:i w:val="0"/>
                <w:iCs w:val="0"/>
                <w:color w:val="000000"/>
                <w:sz w:val="18"/>
                <w:szCs w:val="18"/>
                <w:u w:val="none"/>
                <w:lang w:val="en-US" w:eastAsia="zh-CN"/>
              </w:rPr>
              <w:t>1.5</w:t>
            </w:r>
            <w:r>
              <w:rPr>
                <w:rFonts w:hint="eastAsia" w:ascii="仿宋_GB2312" w:hAnsi="仿宋_GB2312" w:eastAsia="仿宋_GB2312" w:cs="仿宋_GB2312"/>
                <w:i w:val="0"/>
                <w:iCs w:val="0"/>
                <w:color w:val="000000"/>
                <w:sz w:val="18"/>
                <w:szCs w:val="18"/>
                <w:u w:val="none"/>
              </w:rPr>
              <w:t>万元/年</w:t>
            </w:r>
          </w:p>
        </w:tc>
        <w:tc>
          <w:tcPr>
            <w:tcW w:w="1164"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10</w:t>
            </w:r>
          </w:p>
        </w:tc>
        <w:tc>
          <w:tcPr>
            <w:tcW w:w="882"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1.5</w:t>
            </w:r>
            <w:r>
              <w:rPr>
                <w:rFonts w:hint="eastAsia" w:ascii="仿宋_GB2312" w:hAnsi="仿宋_GB2312" w:eastAsia="仿宋_GB2312" w:cs="仿宋_GB2312"/>
                <w:i w:val="0"/>
                <w:iCs w:val="0"/>
                <w:color w:val="000000"/>
                <w:sz w:val="18"/>
                <w:szCs w:val="18"/>
                <w:u w:val="none"/>
              </w:rPr>
              <w:t>万元/年</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效益指标</w:t>
            </w: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经济效益指标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312"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社会效益指标</w:t>
            </w:r>
          </w:p>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提高编外人员工作积极性</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有效提高</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按照评判等级赋分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有效提高</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312"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提高职工日常工作效率和质量</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有效提高</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按照评判等级赋分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有效提高</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满意度指标</w:t>
            </w: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满意度指标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单位职工满意度</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&gt;=92%</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满意度赋分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92%</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553"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总分</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164" w:type="dxa"/>
            <w:tcBorders>
              <w:top w:val="single" w:color="000000" w:sz="4" w:space="0"/>
              <w:left w:val="nil"/>
              <w:bottom w:val="single" w:color="000000" w:sz="4" w:space="0"/>
              <w:right w:val="single" w:color="000000" w:sz="4" w:space="0"/>
            </w:tcBorders>
            <w:shd w:val="clear" w:color="auto" w:fill="auto"/>
            <w:vAlign w:val="center"/>
          </w:tcPr>
          <w:p>
            <w:pPr>
              <w:rPr>
                <w:rFonts w:hint="eastAsia" w:ascii="仿宋_GB2312" w:hAnsi="仿宋_GB2312" w:eastAsia="仿宋_GB2312" w:cs="仿宋_GB2312"/>
                <w:b/>
                <w:bCs/>
                <w:i w:val="0"/>
                <w:iCs w:val="0"/>
                <w:color w:val="000000"/>
                <w:sz w:val="18"/>
                <w:szCs w:val="18"/>
                <w:u w:val="none"/>
              </w:rPr>
            </w:pP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default" w:ascii="仿宋_GB2312" w:hAnsi="仿宋_GB2312" w:eastAsia="仿宋_GB2312" w:cs="仿宋_GB2312"/>
                <w:i w:val="0"/>
                <w:iCs w:val="0"/>
                <w:color w:val="000000"/>
                <w:sz w:val="18"/>
                <w:szCs w:val="18"/>
                <w:u w:val="none"/>
                <w:lang w:val="en-US" w:eastAsia="zh-CN"/>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r>
    </w:tbl>
    <w:p>
      <w:pPr>
        <w:rPr>
          <w:rFonts w:hint="default" w:ascii="Times New Roman" w:hAnsi="Times New Roman" w:cs="Times New Roman"/>
        </w:rPr>
      </w:pPr>
      <w:bookmarkStart w:id="3" w:name="_GoBack"/>
      <w:bookmarkEnd w:id="3"/>
    </w:p>
    <w:sectPr>
      <w:pgSz w:w="16838" w:h="11906" w:orient="landscape"/>
      <w:pgMar w:top="2098"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script"/>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仿宋_GBK">
    <w:altName w:val="微软雅黑"/>
    <w:panose1 w:val="03000509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pPr>
          <w:pStyle w:val="8"/>
          <w:jc w:val="center"/>
        </w:pPr>
        <w:r>
          <w:fldChar w:fldCharType="begin"/>
        </w:r>
        <w:r>
          <w:instrText xml:space="preserve">PAGE   \* MERGEFORMAT</w:instrText>
        </w:r>
        <w:r>
          <w:fldChar w:fldCharType="separate"/>
        </w:r>
        <w:r>
          <w:rPr>
            <w:lang w:val="zh-CN"/>
          </w:rPr>
          <w:t>13</w:t>
        </w:r>
        <w:r>
          <w:fldChar w:fldCharType="end"/>
        </w:r>
      </w:p>
    </w:sdtContent>
  </w:sdt>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4CD2B0F"/>
    <w:multiLevelType w:val="singleLevel"/>
    <w:tmpl w:val="F4CD2B0F"/>
    <w:lvl w:ilvl="0" w:tentative="0">
      <w:start w:val="1"/>
      <w:numFmt w:val="decimal"/>
      <w:suff w:val="nothing"/>
      <w:lvlText w:val="（%1）"/>
      <w:lvlJc w:val="left"/>
    </w:lvl>
  </w:abstractNum>
  <w:abstractNum w:abstractNumId="1">
    <w:nsid w:val="FF9379A8"/>
    <w:multiLevelType w:val="singleLevel"/>
    <w:tmpl w:val="FF9379A8"/>
    <w:lvl w:ilvl="0" w:tentative="0">
      <w:start w:val="2"/>
      <w:numFmt w:val="chineseCounting"/>
      <w:suff w:val="nothing"/>
      <w:lvlText w:val="（%1）"/>
      <w:lvlJc w:val="left"/>
      <w:rPr>
        <w:rFonts w:hint="eastAsia"/>
      </w:rPr>
    </w:lvl>
  </w:abstractNum>
  <w:abstractNum w:abstractNumId="2">
    <w:nsid w:val="116B29BF"/>
    <w:multiLevelType w:val="singleLevel"/>
    <w:tmpl w:val="116B29BF"/>
    <w:lvl w:ilvl="0" w:tentative="0">
      <w:start w:val="3"/>
      <w:numFmt w:val="chineseCounting"/>
      <w:suff w:val="nothing"/>
      <w:lvlText w:val="%1、"/>
      <w:lvlJc w:val="left"/>
      <w:rPr>
        <w:rFonts w:hint="eastAsia"/>
      </w:rPr>
    </w:lvl>
  </w:abstractNum>
  <w:abstractNum w:abstractNumId="3">
    <w:nsid w:val="27813159"/>
    <w:multiLevelType w:val="singleLevel"/>
    <w:tmpl w:val="27813159"/>
    <w:lvl w:ilvl="0" w:tentative="0">
      <w:start w:val="3"/>
      <w:numFmt w:val="chineseCounting"/>
      <w:suff w:val="nothing"/>
      <w:lvlText w:val="（%1）"/>
      <w:lvlJc w:val="left"/>
      <w:rPr>
        <w:rFonts w:hint="eastAsia"/>
      </w:rPr>
    </w:lvl>
  </w:abstractNum>
  <w:abstractNum w:abstractNumId="4">
    <w:nsid w:val="6FAA0AB1"/>
    <w:multiLevelType w:val="singleLevel"/>
    <w:tmpl w:val="6FAA0AB1"/>
    <w:lvl w:ilvl="0" w:tentative="0">
      <w:start w:val="2"/>
      <w:numFmt w:val="chineseCounting"/>
      <w:suff w:val="nothing"/>
      <w:lvlText w:val="（%1）"/>
      <w:lvlJc w:val="left"/>
      <w:rPr>
        <w:rFonts w:hint="eastAsia"/>
      </w:rPr>
    </w:lvl>
  </w:abstractNum>
  <w:abstractNum w:abstractNumId="5">
    <w:nsid w:val="7E5826EA"/>
    <w:multiLevelType w:val="singleLevel"/>
    <w:tmpl w:val="7E5826EA"/>
    <w:lvl w:ilvl="0" w:tentative="0">
      <w:start w:val="1"/>
      <w:numFmt w:val="decimal"/>
      <w:lvlText w:val="%1."/>
      <w:lvlJc w:val="left"/>
      <w:pPr>
        <w:tabs>
          <w:tab w:val="left" w:pos="312"/>
        </w:tabs>
      </w:pPr>
    </w:lvl>
  </w:abstractNum>
  <w:num w:numId="1">
    <w:abstractNumId w:val="0"/>
  </w:num>
  <w:num w:numId="2">
    <w:abstractNumId w:val="3"/>
  </w:num>
  <w:num w:numId="3">
    <w:abstractNumId w:val="2"/>
  </w:num>
  <w:num w:numId="4">
    <w:abstractNumId w:val="4"/>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JkNDEzYjE1YTQ1ZGZhYmU4NjhhZjA4ZWM1YmExMTAifQ=="/>
  </w:docVars>
  <w:rsids>
    <w:rsidRoot w:val="FF6C4049"/>
    <w:rsid w:val="006F7242"/>
    <w:rsid w:val="0073775B"/>
    <w:rsid w:val="007B168A"/>
    <w:rsid w:val="008B2CFE"/>
    <w:rsid w:val="00E335FF"/>
    <w:rsid w:val="00F26FF6"/>
    <w:rsid w:val="013A280A"/>
    <w:rsid w:val="0150374F"/>
    <w:rsid w:val="01610122"/>
    <w:rsid w:val="0187403F"/>
    <w:rsid w:val="02246C1A"/>
    <w:rsid w:val="02493F31"/>
    <w:rsid w:val="02510197"/>
    <w:rsid w:val="02EF0AC5"/>
    <w:rsid w:val="030F6088"/>
    <w:rsid w:val="03897C3A"/>
    <w:rsid w:val="03EC461B"/>
    <w:rsid w:val="03F60669"/>
    <w:rsid w:val="050C64B6"/>
    <w:rsid w:val="05B46DBE"/>
    <w:rsid w:val="07397B77"/>
    <w:rsid w:val="0788465B"/>
    <w:rsid w:val="07FC2953"/>
    <w:rsid w:val="0A7313CB"/>
    <w:rsid w:val="0AD007F3"/>
    <w:rsid w:val="0BDA2FAB"/>
    <w:rsid w:val="0C4979FC"/>
    <w:rsid w:val="0C9D2956"/>
    <w:rsid w:val="0D0F734E"/>
    <w:rsid w:val="0DB8331D"/>
    <w:rsid w:val="0E3C619F"/>
    <w:rsid w:val="0E746EB2"/>
    <w:rsid w:val="0ED84EBC"/>
    <w:rsid w:val="0EEF2728"/>
    <w:rsid w:val="0FDC6702"/>
    <w:rsid w:val="0FDD5E19"/>
    <w:rsid w:val="100F38EC"/>
    <w:rsid w:val="105C6685"/>
    <w:rsid w:val="11170296"/>
    <w:rsid w:val="125A5938"/>
    <w:rsid w:val="12C66037"/>
    <w:rsid w:val="12CD1ABC"/>
    <w:rsid w:val="13471461"/>
    <w:rsid w:val="13631AD8"/>
    <w:rsid w:val="13B90F01"/>
    <w:rsid w:val="14005579"/>
    <w:rsid w:val="141A663B"/>
    <w:rsid w:val="142B0848"/>
    <w:rsid w:val="14686AA3"/>
    <w:rsid w:val="14B453C6"/>
    <w:rsid w:val="153876C0"/>
    <w:rsid w:val="15584B50"/>
    <w:rsid w:val="155E4C4D"/>
    <w:rsid w:val="181066D2"/>
    <w:rsid w:val="18F97167"/>
    <w:rsid w:val="19F82B8C"/>
    <w:rsid w:val="1AEA2A58"/>
    <w:rsid w:val="1B981705"/>
    <w:rsid w:val="1C671E73"/>
    <w:rsid w:val="1CBF5022"/>
    <w:rsid w:val="1D322C47"/>
    <w:rsid w:val="1DC647C6"/>
    <w:rsid w:val="1F5A6485"/>
    <w:rsid w:val="1F731B0D"/>
    <w:rsid w:val="1F872141"/>
    <w:rsid w:val="2079326F"/>
    <w:rsid w:val="21417858"/>
    <w:rsid w:val="22E70074"/>
    <w:rsid w:val="23616034"/>
    <w:rsid w:val="23696C97"/>
    <w:rsid w:val="24480FA2"/>
    <w:rsid w:val="24A65CC9"/>
    <w:rsid w:val="25227A45"/>
    <w:rsid w:val="26AC3A6A"/>
    <w:rsid w:val="274230F2"/>
    <w:rsid w:val="27561C28"/>
    <w:rsid w:val="276E0FDC"/>
    <w:rsid w:val="287A1946"/>
    <w:rsid w:val="28B20A44"/>
    <w:rsid w:val="28E80784"/>
    <w:rsid w:val="29622E26"/>
    <w:rsid w:val="2A157B78"/>
    <w:rsid w:val="2B9D7E25"/>
    <w:rsid w:val="2C4C1A22"/>
    <w:rsid w:val="2C7C7A3B"/>
    <w:rsid w:val="2D047A30"/>
    <w:rsid w:val="2F364819"/>
    <w:rsid w:val="2F6D0E4E"/>
    <w:rsid w:val="2FC30013"/>
    <w:rsid w:val="2FD63906"/>
    <w:rsid w:val="311E5F0C"/>
    <w:rsid w:val="31202B71"/>
    <w:rsid w:val="317B30D3"/>
    <w:rsid w:val="329E2177"/>
    <w:rsid w:val="33450FAA"/>
    <w:rsid w:val="34053575"/>
    <w:rsid w:val="34C27499"/>
    <w:rsid w:val="354D4B24"/>
    <w:rsid w:val="363C1751"/>
    <w:rsid w:val="36AB5A98"/>
    <w:rsid w:val="36BD137C"/>
    <w:rsid w:val="37215DAE"/>
    <w:rsid w:val="378E027E"/>
    <w:rsid w:val="38CA0A91"/>
    <w:rsid w:val="38CA40DD"/>
    <w:rsid w:val="391E0F46"/>
    <w:rsid w:val="393F0BCF"/>
    <w:rsid w:val="395F2B56"/>
    <w:rsid w:val="3BBA0580"/>
    <w:rsid w:val="3BECE841"/>
    <w:rsid w:val="3C190E40"/>
    <w:rsid w:val="3CDE204C"/>
    <w:rsid w:val="3D363C36"/>
    <w:rsid w:val="3E2713A2"/>
    <w:rsid w:val="3E9C3F6D"/>
    <w:rsid w:val="3FB82422"/>
    <w:rsid w:val="3FF06666"/>
    <w:rsid w:val="3FF7797D"/>
    <w:rsid w:val="40602DBF"/>
    <w:rsid w:val="40BE641C"/>
    <w:rsid w:val="41806EDA"/>
    <w:rsid w:val="41E00614"/>
    <w:rsid w:val="42291644"/>
    <w:rsid w:val="42417305"/>
    <w:rsid w:val="44CD035F"/>
    <w:rsid w:val="44F70A86"/>
    <w:rsid w:val="4619639D"/>
    <w:rsid w:val="46690BD8"/>
    <w:rsid w:val="480E7019"/>
    <w:rsid w:val="48F01B9A"/>
    <w:rsid w:val="49F70BF1"/>
    <w:rsid w:val="4A436929"/>
    <w:rsid w:val="4A5A7C6A"/>
    <w:rsid w:val="4A7A4BEA"/>
    <w:rsid w:val="4B4340EE"/>
    <w:rsid w:val="4BF77078"/>
    <w:rsid w:val="4C107D48"/>
    <w:rsid w:val="4C4157E5"/>
    <w:rsid w:val="4C5A027C"/>
    <w:rsid w:val="4C7B61F9"/>
    <w:rsid w:val="4E035DB6"/>
    <w:rsid w:val="4E3335A3"/>
    <w:rsid w:val="503855A1"/>
    <w:rsid w:val="503D507A"/>
    <w:rsid w:val="50EE22C6"/>
    <w:rsid w:val="513F5357"/>
    <w:rsid w:val="51E64497"/>
    <w:rsid w:val="51FA74D0"/>
    <w:rsid w:val="52AA4A52"/>
    <w:rsid w:val="52AA5F27"/>
    <w:rsid w:val="53927439"/>
    <w:rsid w:val="548C39A3"/>
    <w:rsid w:val="55240308"/>
    <w:rsid w:val="56D61851"/>
    <w:rsid w:val="582F6B90"/>
    <w:rsid w:val="59943D66"/>
    <w:rsid w:val="59AD10F9"/>
    <w:rsid w:val="59BD44C5"/>
    <w:rsid w:val="59E051FD"/>
    <w:rsid w:val="59E6355E"/>
    <w:rsid w:val="59EF05E3"/>
    <w:rsid w:val="5B821531"/>
    <w:rsid w:val="5BD91EDB"/>
    <w:rsid w:val="5BE50F40"/>
    <w:rsid w:val="5BFF6039"/>
    <w:rsid w:val="5C0F1DCA"/>
    <w:rsid w:val="5D76A616"/>
    <w:rsid w:val="5D7F20B9"/>
    <w:rsid w:val="5DAC7D0E"/>
    <w:rsid w:val="5E74216D"/>
    <w:rsid w:val="5EB84053"/>
    <w:rsid w:val="5F1B1DE2"/>
    <w:rsid w:val="5F8E5E09"/>
    <w:rsid w:val="5F98B5AF"/>
    <w:rsid w:val="5FFE8511"/>
    <w:rsid w:val="5FFEACE2"/>
    <w:rsid w:val="60413203"/>
    <w:rsid w:val="609738F3"/>
    <w:rsid w:val="609D5BF6"/>
    <w:rsid w:val="61073070"/>
    <w:rsid w:val="61B9080E"/>
    <w:rsid w:val="61DF3FED"/>
    <w:rsid w:val="63BD7C36"/>
    <w:rsid w:val="63C80C01"/>
    <w:rsid w:val="642B176B"/>
    <w:rsid w:val="643EE26D"/>
    <w:rsid w:val="656019A0"/>
    <w:rsid w:val="65F242EE"/>
    <w:rsid w:val="666D7E19"/>
    <w:rsid w:val="678A5829"/>
    <w:rsid w:val="68376930"/>
    <w:rsid w:val="68F91E38"/>
    <w:rsid w:val="69907EC9"/>
    <w:rsid w:val="6A8A6E10"/>
    <w:rsid w:val="6AFA7914"/>
    <w:rsid w:val="6B3158B9"/>
    <w:rsid w:val="6B451A73"/>
    <w:rsid w:val="6BA02A3F"/>
    <w:rsid w:val="6BA323BA"/>
    <w:rsid w:val="6BC04E8F"/>
    <w:rsid w:val="6BC95AF1"/>
    <w:rsid w:val="6C1E5A53"/>
    <w:rsid w:val="6E745F1C"/>
    <w:rsid w:val="6F5C41AC"/>
    <w:rsid w:val="6FAF6C78"/>
    <w:rsid w:val="706F162A"/>
    <w:rsid w:val="70D92119"/>
    <w:rsid w:val="716167CC"/>
    <w:rsid w:val="718A7AD1"/>
    <w:rsid w:val="72A44BC2"/>
    <w:rsid w:val="7317C656"/>
    <w:rsid w:val="734B0ABC"/>
    <w:rsid w:val="734ED73F"/>
    <w:rsid w:val="73C82B32"/>
    <w:rsid w:val="73F94DAE"/>
    <w:rsid w:val="74220495"/>
    <w:rsid w:val="743511EA"/>
    <w:rsid w:val="745C526A"/>
    <w:rsid w:val="74717A57"/>
    <w:rsid w:val="747D1B6F"/>
    <w:rsid w:val="749E5641"/>
    <w:rsid w:val="74E034F0"/>
    <w:rsid w:val="75073EC6"/>
    <w:rsid w:val="76271066"/>
    <w:rsid w:val="76BE5AB5"/>
    <w:rsid w:val="77BE5075"/>
    <w:rsid w:val="77FD8BE9"/>
    <w:rsid w:val="78000AED"/>
    <w:rsid w:val="786B139C"/>
    <w:rsid w:val="79105EC3"/>
    <w:rsid w:val="79A9BD3F"/>
    <w:rsid w:val="7A050765"/>
    <w:rsid w:val="7A2C6C49"/>
    <w:rsid w:val="7AE33563"/>
    <w:rsid w:val="7AFC0D8F"/>
    <w:rsid w:val="7B776F12"/>
    <w:rsid w:val="7BFFFDD0"/>
    <w:rsid w:val="7C336E5F"/>
    <w:rsid w:val="7C5445F2"/>
    <w:rsid w:val="7C8D4919"/>
    <w:rsid w:val="7D7A5F86"/>
    <w:rsid w:val="7DAC0324"/>
    <w:rsid w:val="7DFE68B0"/>
    <w:rsid w:val="7E4B683A"/>
    <w:rsid w:val="7E5E656D"/>
    <w:rsid w:val="7E8458A8"/>
    <w:rsid w:val="7E8F2BCB"/>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spacing w:after="120"/>
      <w:ind w:left="420" w:leftChars="200"/>
    </w:pPr>
    <w:rPr>
      <w:rFonts w:ascii="Calibri" w:hAnsi="Calibri"/>
    </w:rPr>
  </w:style>
  <w:style w:type="paragraph" w:styleId="5">
    <w:name w:val="annotation text"/>
    <w:basedOn w:val="1"/>
    <w:link w:val="23"/>
    <w:qFormat/>
    <w:uiPriority w:val="0"/>
    <w:pPr>
      <w:jc w:val="left"/>
    </w:pPr>
  </w:style>
  <w:style w:type="paragraph" w:styleId="6">
    <w:name w:val="Body Text"/>
    <w:basedOn w:val="1"/>
    <w:qFormat/>
    <w:uiPriority w:val="0"/>
    <w:pPr>
      <w:spacing w:after="120"/>
    </w:pPr>
  </w:style>
  <w:style w:type="paragraph" w:styleId="7">
    <w:name w:val="Balloon Text"/>
    <w:basedOn w:val="1"/>
    <w:link w:val="21"/>
    <w:qFormat/>
    <w:uiPriority w:val="0"/>
    <w:rPr>
      <w:sz w:val="18"/>
      <w:szCs w:val="18"/>
    </w:rPr>
  </w:style>
  <w:style w:type="paragraph" w:styleId="8">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9">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10">
    <w:name w:val="HTML Preformatted"/>
    <w:basedOn w:val="1"/>
    <w:qFormat/>
    <w:uiPriority w:val="0"/>
    <w:pPr>
      <w:jc w:val="left"/>
    </w:pPr>
    <w:rPr>
      <w:rFonts w:ascii="宋体" w:hAnsi="宋体" w:cs="宋体"/>
      <w:kern w:val="0"/>
      <w:sz w:val="24"/>
      <w:szCs w:val="24"/>
    </w:rPr>
  </w:style>
  <w:style w:type="paragraph" w:styleId="11">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3">
    <w:name w:val="annotation subject"/>
    <w:basedOn w:val="5"/>
    <w:next w:val="5"/>
    <w:link w:val="24"/>
    <w:qFormat/>
    <w:uiPriority w:val="0"/>
    <w:rPr>
      <w:b/>
      <w:bCs/>
    </w:rPr>
  </w:style>
  <w:style w:type="paragraph" w:styleId="14">
    <w:name w:val="Body Text First Indent"/>
    <w:basedOn w:val="6"/>
    <w:qFormat/>
    <w:uiPriority w:val="0"/>
    <w:pPr>
      <w:spacing w:after="0"/>
      <w:ind w:firstLine="200" w:firstLineChars="200"/>
    </w:pPr>
  </w:style>
  <w:style w:type="character" w:styleId="17">
    <w:name w:val="Strong"/>
    <w:basedOn w:val="16"/>
    <w:qFormat/>
    <w:uiPriority w:val="0"/>
    <w:rPr>
      <w:b/>
      <w:bCs/>
    </w:rPr>
  </w:style>
  <w:style w:type="character" w:styleId="18">
    <w:name w:val="annotation reference"/>
    <w:basedOn w:val="16"/>
    <w:qFormat/>
    <w:uiPriority w:val="0"/>
    <w:rPr>
      <w:sz w:val="21"/>
      <w:szCs w:val="21"/>
    </w:rPr>
  </w:style>
  <w:style w:type="character" w:customStyle="1" w:styleId="19">
    <w:name w:val="fontstyle01"/>
    <w:qFormat/>
    <w:uiPriority w:val="0"/>
    <w:rPr>
      <w:rFonts w:ascii="仿宋_GB2312" w:hAnsi="仿宋_GB2312" w:eastAsia="仿宋_GB2312" w:cs="仿宋_GB2312"/>
      <w:color w:val="000000"/>
      <w:sz w:val="32"/>
      <w:szCs w:val="32"/>
    </w:rPr>
  </w:style>
  <w:style w:type="paragraph" w:customStyle="1" w:styleId="20">
    <w:name w:val="闻政-正文段落文字"/>
    <w:basedOn w:val="1"/>
    <w:qFormat/>
    <w:uiPriority w:val="3"/>
    <w:pPr>
      <w:spacing w:line="500" w:lineRule="exact"/>
      <w:ind w:firstLine="200"/>
    </w:pPr>
    <w:rPr>
      <w:kern w:val="0"/>
      <w:szCs w:val="28"/>
    </w:rPr>
  </w:style>
  <w:style w:type="character" w:customStyle="1" w:styleId="21">
    <w:name w:val="批注框文本 字符"/>
    <w:basedOn w:val="16"/>
    <w:link w:val="7"/>
    <w:qFormat/>
    <w:uiPriority w:val="0"/>
    <w:rPr>
      <w:rFonts w:ascii="Times New Roman" w:hAnsi="Times New Roman" w:eastAsia="宋体" w:cs="Times New Roman"/>
      <w:kern w:val="2"/>
      <w:sz w:val="18"/>
      <w:szCs w:val="18"/>
    </w:rPr>
  </w:style>
  <w:style w:type="character" w:customStyle="1" w:styleId="22">
    <w:name w:val="页眉 字符"/>
    <w:basedOn w:val="16"/>
    <w:link w:val="9"/>
    <w:qFormat/>
    <w:uiPriority w:val="0"/>
    <w:rPr>
      <w:rFonts w:ascii="Times New Roman" w:hAnsi="Times New Roman" w:eastAsia="宋体" w:cs="Times New Roman"/>
      <w:kern w:val="2"/>
      <w:sz w:val="18"/>
      <w:szCs w:val="18"/>
    </w:rPr>
  </w:style>
  <w:style w:type="character" w:customStyle="1" w:styleId="23">
    <w:name w:val="批注文字 字符"/>
    <w:basedOn w:val="16"/>
    <w:link w:val="5"/>
    <w:qFormat/>
    <w:uiPriority w:val="0"/>
    <w:rPr>
      <w:rFonts w:ascii="Times New Roman" w:hAnsi="Times New Roman" w:eastAsia="宋体" w:cs="Times New Roman"/>
      <w:kern w:val="2"/>
      <w:sz w:val="21"/>
      <w:szCs w:val="24"/>
    </w:rPr>
  </w:style>
  <w:style w:type="character" w:customStyle="1" w:styleId="24">
    <w:name w:val="批注主题 字符"/>
    <w:basedOn w:val="23"/>
    <w:link w:val="13"/>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28</Pages>
  <Words>12800</Words>
  <Characters>13252</Characters>
  <Lines>58</Lines>
  <Paragraphs>16</Paragraphs>
  <TotalTime>4</TotalTime>
  <ScaleCrop>false</ScaleCrop>
  <LinksUpToDate>false</LinksUpToDate>
  <CharactersWithSpaces>13286</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Administrator</cp:lastModifiedBy>
  <dcterms:modified xsi:type="dcterms:W3CDTF">2025-07-22T05:29:11Z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79CD3A59230345CDA03BC8348C59D5A8</vt:lpwstr>
  </property>
  <property fmtid="{D5CDD505-2E9C-101B-9397-08002B2CF9AE}" pid="4" name="KSOTemplateDocerSaveRecord">
    <vt:lpwstr>eyJoZGlkIjoiOGY4ZjllZTc5NjFlZmUyNTcxNjBmMzdkOGZkNDIyZDciLCJ1c2VySWQiOiIxMTQzMDA1NzQ2In0=</vt:lpwstr>
  </property>
</Properties>
</file>