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特克斯县牧业包扎得尔库克苏温泉卫生院2024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1.为人民健康医疗与预防保健服务，常见病多发病的治疗和护理。</w:t>
      </w:r>
    </w:p>
    <w:p>
      <w:pPr>
        <w:spacing w:line="580" w:lineRule="exact"/>
        <w:ind w:firstLine="640"/>
        <w:jc w:val="both"/>
      </w:pPr>
      <w:r>
        <w:rPr>
          <w:rFonts w:ascii="仿宋_GB2312" w:hAnsi="仿宋_GB2312" w:eastAsia="仿宋_GB2312"/>
          <w:sz w:val="32"/>
        </w:rPr>
        <w:t>2.预防保健；卫生人员技术培训。</w:t>
      </w:r>
    </w:p>
    <w:p>
      <w:pPr>
        <w:spacing w:line="580" w:lineRule="exact"/>
        <w:ind w:firstLine="640"/>
        <w:jc w:val="both"/>
      </w:pPr>
      <w:r>
        <w:rPr>
          <w:rFonts w:ascii="仿宋_GB2312" w:hAnsi="仿宋_GB2312" w:eastAsia="仿宋_GB2312"/>
          <w:sz w:val="32"/>
        </w:rPr>
        <w:t>3.职能表现形式有疾病控制防疫、妇幼儿童保健、门诊住院医疗、急诊抢救、防病治病等救死扶伤等。</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特克斯县牧业包扎得尔库克苏温泉卫生院2024年度，实有人数19人，其中：在职人员14人，增加0人；离休人员0人，增加0人；退休人员5人,减少1人。</w:t>
      </w:r>
    </w:p>
    <w:p>
      <w:pPr>
        <w:spacing w:line="580" w:lineRule="exact"/>
        <w:ind w:firstLine="640"/>
        <w:jc w:val="both"/>
      </w:pPr>
      <w:r>
        <w:rPr>
          <w:rFonts w:ascii="仿宋_GB2312" w:hAnsi="仿宋_GB2312" w:eastAsia="仿宋_GB2312"/>
          <w:sz w:val="32"/>
        </w:rPr>
        <w:t>单位无下属预算单位，下设5个科室，分别是：中医民族科、检验科、财务室、办公室、药房。。</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2024年度收入总计244.31万元，</w:t>
      </w:r>
      <w:r>
        <w:rPr>
          <w:rFonts w:ascii="仿宋_GB2312" w:hAnsi="仿宋_GB2312" w:eastAsia="仿宋_GB2312"/>
          <w:b w:val="0"/>
          <w:sz w:val="32"/>
        </w:rPr>
        <w:t>其中：本年收入合计244.31万元，使用非财政拨款结余（含专用结余）0.00万元，年初结转和结余0.00万元。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2024年度支出总计244.31万元，</w:t>
      </w:r>
      <w:r>
        <w:rPr>
          <w:rFonts w:ascii="仿宋_GB2312" w:hAnsi="仿宋_GB2312" w:eastAsia="仿宋_GB2312"/>
          <w:b w:val="0"/>
          <w:sz w:val="32"/>
        </w:rPr>
        <w:t>其中：本年支出合计244.31万元，结余分配0.00万元，年末结转和结余0.00万元。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增加28.22万元，增长13.06%，主要原因是：本年度事业收入温泉收入增加，在职人员工资调增，社保、公积金基数调增，人员经费增加。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本年收入244.31万元，</w:t>
      </w:r>
      <w:r>
        <w:rPr>
          <w:rFonts w:ascii="仿宋_GB2312" w:hAnsi="仿宋_GB2312" w:eastAsia="仿宋_GB2312"/>
          <w:b w:val="0"/>
          <w:sz w:val="32"/>
        </w:rPr>
        <w:t>其中：财政拨款收入215.97万元，占88.40%；上级补助收入0.00万元，占0.00%；事业收入23.34万元，占9.55%；经营收入0.00万元，占0.00%；附属单位上缴收入0.00万元，占0.00%；其他收入5.00万元，占2.05%。</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本年支出244.31万元，</w:t>
      </w:r>
      <w:r>
        <w:rPr>
          <w:rFonts w:ascii="仿宋_GB2312" w:hAnsi="仿宋_GB2312" w:eastAsia="仿宋_GB2312"/>
          <w:b w:val="0"/>
          <w:sz w:val="32"/>
        </w:rPr>
        <w:t>其中：基本支出242.81万元，占99.39%；项目支出1.50万元，占0.61%；上缴上级支出0.00万元，占0.00%；经营支出0.00万元，占0.00%；对附属单位补助支出0.00万元，占0.00%。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2024年度财政拨款收入总计215.97万元，</w:t>
      </w:r>
      <w:r>
        <w:rPr>
          <w:rFonts w:ascii="仿宋_GB2312" w:hAnsi="仿宋_GB2312" w:eastAsia="仿宋_GB2312"/>
          <w:b w:val="0"/>
          <w:sz w:val="32"/>
        </w:rPr>
        <w:t>其中：年初财政拨款结转和结余0.00万元，本年财政拨款收入215.97万元。</w:t>
      </w:r>
      <w:r>
        <w:rPr>
          <w:rFonts w:ascii="仿宋_GB2312" w:hAnsi="仿宋_GB2312" w:eastAsia="仿宋_GB2312"/>
          <w:b/>
          <w:sz w:val="32"/>
        </w:rPr>
        <w:t>财政拨款支出总计215.97万元，</w:t>
      </w:r>
      <w:r>
        <w:rPr>
          <w:rFonts w:ascii="仿宋_GB2312" w:hAnsi="仿宋_GB2312" w:eastAsia="仿宋_GB2312"/>
          <w:b w:val="0"/>
          <w:sz w:val="32"/>
        </w:rPr>
        <w:t>其中：年末财政拨款结转和结余0.00万元，本年财政拨款支出215.97万元。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增加23.88万元，增长12.43%，主要原因是：本年在职人员工资调增，社保、公积金基数调增，人员经费增加。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年初预算数201.16万元，决算数215.97万元，预决算差异率7.36%，主要原因是：年中追加人员工资、社保、公积金基数调增部分资金，导致预决算存在差异。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2024年度一般公共预算财政拨款支出215.97万元，</w:t>
      </w:r>
      <w:r>
        <w:rPr>
          <w:rFonts w:ascii="仿宋_GB2312" w:hAnsi="仿宋_GB2312" w:eastAsia="仿宋_GB2312"/>
          <w:b w:val="0"/>
          <w:sz w:val="32"/>
        </w:rPr>
        <w:t>占本年支出合计的88.40%。</w:t>
      </w:r>
      <w:r>
        <w:rPr>
          <w:rFonts w:ascii="仿宋_GB2312" w:hAnsi="仿宋_GB2312" w:eastAsia="仿宋_GB2312"/>
          <w:b/>
          <w:sz w:val="32"/>
        </w:rPr>
        <w:t>与上年相比，</w:t>
      </w:r>
      <w:r>
        <w:rPr>
          <w:rFonts w:ascii="仿宋_GB2312" w:hAnsi="仿宋_GB2312" w:eastAsia="仿宋_GB2312"/>
          <w:b w:val="0"/>
          <w:sz w:val="32"/>
        </w:rPr>
        <w:t>增加23.88万元，增长12.43%，主要原因是：本年在职人员工资调增、社保、公积金基数调增，人员经费增加。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年初预算数201.16万元，决算数215.97万元，预决算差异率7.36%，主要原因是：年中追加人员经费及人员工资、社保、公积金基数调增部分资金，导致预决算存在差异。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1.社会保障和就业支出(类)27.72万元,占12.84%。</w:t>
      </w:r>
    </w:p>
    <w:p>
      <w:pPr>
        <w:spacing w:line="580" w:lineRule="exact"/>
        <w:ind w:firstLine="640"/>
        <w:jc w:val="both"/>
      </w:pPr>
      <w:r>
        <w:rPr>
          <w:rFonts w:ascii="仿宋_GB2312" w:hAnsi="仿宋_GB2312" w:eastAsia="仿宋_GB2312"/>
          <w:b w:val="0"/>
          <w:sz w:val="32"/>
        </w:rPr>
        <w:t>2.卫生健康支出(类)172.29万元,占79.77%。</w:t>
      </w:r>
    </w:p>
    <w:p>
      <w:pPr>
        <w:spacing w:line="580" w:lineRule="exact"/>
        <w:ind w:firstLine="640"/>
        <w:jc w:val="both"/>
      </w:pPr>
      <w:r>
        <w:rPr>
          <w:rFonts w:ascii="仿宋_GB2312" w:hAnsi="仿宋_GB2312" w:eastAsia="仿宋_GB2312"/>
          <w:b w:val="0"/>
          <w:sz w:val="32"/>
        </w:rPr>
        <w:t>3.住房保障支出(类)15.97万元,占7.39%。</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20.68万元，比上年决算增加2.79万元，增长15.60%,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2.社会保障和就业支出(类)抚恤(款)死亡抚恤(项):支出决算数为7.04万元，比上年决算增加5.89万元，增长512.17%,主要原因是：本年新增死亡人员，死亡抚恤支出增加。</w:t>
      </w:r>
    </w:p>
    <w:p>
      <w:pPr>
        <w:spacing w:line="580" w:lineRule="exact"/>
        <w:ind w:firstLine="640"/>
        <w:jc w:val="both"/>
      </w:pPr>
      <w:r>
        <w:rPr>
          <w:rFonts w:ascii="仿宋_GB2312" w:hAnsi="仿宋_GB2312" w:eastAsia="仿宋_GB2312"/>
          <w:b w:val="0"/>
          <w:sz w:val="32"/>
        </w:rPr>
        <w:t>3.卫生健康支出(类)基层医疗卫生机构(款)乡镇卫生院(项):支出决算数为162.08万元，比上年决算增加12.95万元，增长8.68%,主要原因是：本年在职人员工资调增、社保、公积金基数调增，人员经费增加。</w:t>
      </w:r>
    </w:p>
    <w:p>
      <w:pPr>
        <w:spacing w:line="580" w:lineRule="exact"/>
        <w:ind w:firstLine="640"/>
        <w:jc w:val="both"/>
      </w:pPr>
      <w:r>
        <w:rPr>
          <w:rFonts w:ascii="仿宋_GB2312" w:hAnsi="仿宋_GB2312" w:eastAsia="仿宋_GB2312"/>
          <w:b w:val="0"/>
          <w:sz w:val="32"/>
        </w:rPr>
        <w:t>4.卫生健康支出(类)基层医疗卫生机构(款)其他基层医疗卫生机构支出(项):支出决算数为1.50万元，比上年决算增加0.00万元，增长0.00%,主要原因是：本年度基本药物补助资金与上年保持一致。</w:t>
      </w:r>
    </w:p>
    <w:p>
      <w:pPr>
        <w:spacing w:line="580" w:lineRule="exact"/>
        <w:ind w:firstLine="640"/>
        <w:jc w:val="both"/>
      </w:pPr>
      <w:r>
        <w:rPr>
          <w:rFonts w:ascii="仿宋_GB2312" w:hAnsi="仿宋_GB2312" w:eastAsia="仿宋_GB2312"/>
          <w:b w:val="0"/>
          <w:sz w:val="32"/>
        </w:rPr>
        <w:t>5.卫生健康支出(类)行政事业单位医疗(款)事业单位医疗(项):支出决算数为8.53万元，比上年决算增加0.43万元，增长5.31%,主要原因是：本年在职人员工资基数调增，医疗缴费基数上涨，相应支出增加。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6.卫生健康支出(类)行政事业单位医疗(款)其他行政事业单位医疗支出(项):支出决算数为0.17万元，比上年决算减少0.06万元，下降26.09%,主要原因是：本年在职人员调入调出，人员职级不同，缴费基数不同，导致事业单位医疗较上年减少。</w:t>
      </w:r>
    </w:p>
    <w:p>
      <w:pPr>
        <w:spacing w:line="580" w:lineRule="exact"/>
        <w:ind w:firstLine="640"/>
        <w:jc w:val="both"/>
      </w:pPr>
      <w:r>
        <w:rPr>
          <w:rFonts w:ascii="仿宋_GB2312" w:hAnsi="仿宋_GB2312" w:eastAsia="仿宋_GB2312"/>
          <w:b w:val="0"/>
          <w:sz w:val="32"/>
        </w:rPr>
        <w:t>7.住房保障支出(类)住房改革支出(款)住房公积金(项):支出决算数为15.97万元，比上年决算增加1.89万元，增长13.42%,主要原因是：本年在职人员工资基数调增，公积金缴费基数上涨，相应支出增加。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2024年度一般公共预算财政拨款基本支出214.47万元，其中：</w:t>
      </w:r>
      <w:r>
        <w:rPr>
          <w:rFonts w:ascii="仿宋_GB2312" w:hAnsi="仿宋_GB2312" w:eastAsia="仿宋_GB2312"/>
          <w:b/>
          <w:sz w:val="32"/>
        </w:rPr>
        <w:t>人员经费214.32万元，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包括：基本工资、津贴补贴、奖金、绩效工资、机关事业单位基本养老保险缴费、职工基本医疗保险缴费、其他社会保障缴费、住房公积金、退休费、抚恤金、生活补助。</w:t>
      </w:r>
    </w:p>
    <w:p>
      <w:pPr>
        <w:spacing w:line="580" w:lineRule="exact"/>
        <w:ind w:firstLine="640"/>
        <w:jc w:val="both"/>
      </w:pPr>
      <w:r>
        <w:rPr>
          <w:rFonts w:ascii="仿宋_GB2312" w:hAnsi="仿宋_GB2312" w:eastAsia="仿宋_GB2312"/>
          <w:b/>
          <w:sz w:val="32"/>
        </w:rPr>
        <w:t>公用经费0.15万元，</w:t>
      </w:r>
      <w:r>
        <w:rPr>
          <w:rFonts w:ascii="仿宋_GB2312" w:hAnsi="仿宋_GB2312" w:eastAsia="仿宋_GB2312"/>
          <w:b w:val="0"/>
          <w:sz w:val="32"/>
        </w:rPr>
        <w:t>包括：工会经费。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单位业务用车，车辆费用未使用财政拨款公务用车运行维护费支付，由单位自有资金保障。</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2024年度特克斯县牧业包扎得尔库克苏温泉卫生院（事业单位）公用经费支出0.15万元，比上年增加0.15万元，增长100.00%，主要原因是：本年度新增工会经费支出。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2024年度政府采购支出总额2.71万元，其中：政府采购货物支出0.01万元、政府采购工程支出0.00万元、政府采购服务支出2.70万元。</w:t>
      </w:r>
    </w:p>
    <w:p>
      <w:pPr>
        <w:spacing w:line="580" w:lineRule="exact"/>
        <w:ind w:firstLine="640"/>
        <w:jc w:val="both"/>
      </w:pPr>
      <w:r>
        <w:rPr>
          <w:rFonts w:ascii="仿宋_GB2312" w:hAnsi="仿宋_GB2312" w:eastAsia="仿宋_GB2312"/>
          <w:b w:val="0"/>
          <w:sz w:val="32"/>
        </w:rPr>
        <w:t>授予中小企业合同金额2.31万元，占政府采购支出总额的85.24%，其中：授予小微企业合同金额1.59万元，占政府采购支出总额的58.67%。</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1,252.00平方米，价值271.50万元。车辆2辆，价值19.94万元，其中：副部（省）级及以上领导用车0辆、主要负责人用车0辆、机要通信用车0辆、应急保障用车0辆、执法执勤用车0辆、特种专业技术用车0辆、离退休干部服务用车0辆、其他用车2辆，其他用车主要是：单位业务用车1辆，救护车1辆。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244.31万元，实际执行总额244.31万元；预算绩效评价项目1个，全年预算数4.50万元，全年执行数4.50万元。预算绩效管理取得的成效：一是预算资金执行过程中均按照年初预算分配情况均做到专款专用，未出现资金侵、挪占情况；二是全年按照部门预算进行成本控制，全部控制在厉行节约指标数内。其他支出按财政部门下达的计划实施，全年没有项目超支，积极推动各项医疗卫生工作取得了新的进展，为促进经济持续健康发展与社会和谐稳定提供了有力的财政支撑和医疗保障。发现的问题及原因：一是由于个别项目指标到第四季度下达，在预算执行中造成个别预算子项调剂现象；对个别项目资金使用方面预算不够细致，出现实际支出数超出了预算申报数或出现项目资金结余数额多的情况，导致调剂频繁，缺乏预算编制的科学性；二是项目细化管理工作不足；三是预算绩效管理水平仍有欠缺。在2024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坚持“滚石上山”，提升的空间还是很大。下一步改进措施： 一是制定和完善基本支出、项目支出等各项支出标准,严格按项目进度执行预算, 增强预算的约束力和严肃性；二是落实预算执行分析,及时了解预算执行差异,合理调整、纠正预算执行偏差，切实提高部门预算收支管理水平。尽可能地做到决算与预算相衔接。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特克斯县牧业包扎得尔库克苏温泉卫生院</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205.65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205.65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244.31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244.31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199.65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199.65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214.48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214.48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28.33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28.33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自治区专项补助资金项目实施方案、特克斯县国民经济和社会发展第十四个五年规划和2023年远景目标纲。全面推进乡镇卫生院体系建设。1.为人民健康医疗与预防保健服务，常见病多发病的治疗和护理；预防保健。2.职能有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乡村级卫生机构的技术指导和对乡村医生的培训。</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一是提供以预防保健、基本医疗、公共卫生、健康教育、计划生育、全民健康体检、康复等为主要内容的综合性服务。受县级卫生行政部门委托承担辖区内公共卫生管理。负责对乡村级卫生机构的技术指导和对乡村医生的培训。二是保障部门单位人员发放工资福利支出；三是用于开展医疗服务及其他活动中发生的编外人员人员工资、社会保障费、卫生材料费、维修维护费、办公费、水电暖、交通费等费用。</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医疗服务收入占比</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2024年特克斯县包扎得尔卫生院工作计划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全年巡回义诊次数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中医药诊疗服务项目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2024年单位自有资金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特克斯县牧业包扎得尔库克苏温泉卫生院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特克斯县牧业包扎得尔库克苏温泉卫生院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保障部门单位人员发放工资福利支出 用于开展医疗服务及其他活动中发生的编外人员人员工资、维修维护费等费用。</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保障编外人员人数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日常工作运转率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编外人员工资发放及时率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编外人员工资发放支出标准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日常办公运转经费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提高编外人员工作积极性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提高职工日常工作效率和质量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单位职工满意度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