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政府采购保证金项目支出绩效评价报告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rPr>
          <w:rFonts w:hint="default"/>
        </w:rPr>
      </w:pPr>
    </w:p>
    <w:p>
      <w:pPr>
        <w:spacing w:line="540" w:lineRule="exact"/>
        <w:rPr>
          <w:rFonts w:hint="default" w:ascii="Times New Roman" w:hAnsi="Times New Roman" w:eastAsia="仿宋_GB2312" w:cs="Times New Roman"/>
          <w:kern w:val="0"/>
          <w:sz w:val="30"/>
          <w:szCs w:val="30"/>
        </w:rPr>
      </w:pPr>
    </w:p>
    <w:p>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kern w:val="0"/>
          <w:sz w:val="32"/>
          <w:szCs w:val="32"/>
          <w:lang w:val="en-US" w:eastAsia="zh-CN"/>
        </w:rPr>
        <w:t>政府采购保证金</w:t>
      </w:r>
    </w:p>
    <w:p>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实施单位（公章）：</w:t>
      </w:r>
      <w:r>
        <w:rPr>
          <w:rFonts w:hint="eastAsia" w:ascii="仿宋_GB2312" w:hAnsi="仿宋_GB2312" w:eastAsia="仿宋_GB2312" w:cs="仿宋_GB2312"/>
          <w:kern w:val="0"/>
          <w:sz w:val="32"/>
          <w:szCs w:val="32"/>
          <w:lang w:val="en-US" w:eastAsia="zh-CN"/>
        </w:rPr>
        <w:t>特克斯县政府采购中心</w:t>
      </w:r>
    </w:p>
    <w:p>
      <w:pPr>
        <w:spacing w:line="700" w:lineRule="exact"/>
        <w:ind w:firstLine="1280" w:firstLineChars="4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主管部门（公章）：</w:t>
      </w:r>
      <w:r>
        <w:rPr>
          <w:rFonts w:hint="eastAsia" w:ascii="仿宋_GB2312" w:hAnsi="仿宋_GB2312" w:eastAsia="仿宋_GB2312" w:cs="仿宋_GB2312"/>
          <w:kern w:val="0"/>
          <w:sz w:val="32"/>
          <w:szCs w:val="32"/>
          <w:lang w:val="en-US" w:eastAsia="zh-CN"/>
        </w:rPr>
        <w:t>特克斯县人民政府办公室</w:t>
      </w:r>
    </w:p>
    <w:p>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热孜娅</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14</w:t>
      </w:r>
      <w:r>
        <w:rPr>
          <w:rFonts w:hint="eastAsia" w:ascii="仿宋_GB2312" w:hAnsi="仿宋_GB2312" w:eastAsia="仿宋_GB2312" w:cs="仿宋_GB2312"/>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根据《中华人民共和国政府采购法实施条例 》规定退还保证金，要咨询采购单位这次项目供应商按时供货，货物验收情况未出现问题，采购单位与供应商签订验收单，采购中心收到验收单可以退还保证金。</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根据《中华人民共和国政府采购法实施条例 》规定，每年按时在政采云系统里发放退还保证金公告，退还保证金。</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退还特克斯县伊布拉音兄弟修理店政府采购保证金3万元。</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退还特克斯县伊布拉音兄弟修理店政府采购保证金3万元。</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1.总体目标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根据《中华人民共和国政府采购法实施条例 》规定，每年按时在政采云系统里发放退还保证金公告，退还保证金。</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根据《中华人民共和国政府采购法实施条例 》规定，每年按时在政采云系统里发放退还保证金公告，退还保证金。2024年6月5日退还特克斯县伊布拉音兄弟修理店政府采购保证金3万元。</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社会效益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通过对项目预算执行情况及各项绩效目标达成程度的系统性分析，全面、客观地评估项目在预定周期内的实施效果，包括社会效益多维度指标，为项目后续的改进与优化提供科学依据。</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3.绩效评价的对象</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政府采购保证金</w:t>
      </w:r>
      <w:r>
        <w:rPr>
          <w:rFonts w:hint="default" w:ascii="Times New Roman" w:hAnsi="Times New Roman" w:eastAsia="仿宋_GB2312" w:cs="Times New Roman"/>
          <w:b w:val="0"/>
          <w:bCs w:val="0"/>
          <w:kern w:val="2"/>
          <w:sz w:val="32"/>
          <w:szCs w:val="32"/>
          <w:highlight w:val="none"/>
          <w:lang w:val="en-US" w:eastAsia="zh-CN" w:bidi="ar-SA"/>
        </w:rPr>
        <w:t>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特克斯县政府采购中心</w:t>
      </w:r>
      <w:r>
        <w:rPr>
          <w:rFonts w:hint="default" w:ascii="Times New Roman" w:hAnsi="Times New Roman" w:eastAsia="仿宋_GB2312" w:cs="Times New Roman"/>
          <w:b w:val="0"/>
          <w:bCs w:val="0"/>
          <w:kern w:val="2"/>
          <w:sz w:val="32"/>
          <w:szCs w:val="32"/>
          <w:highlight w:val="none"/>
          <w:lang w:val="en-US" w:eastAsia="zh-CN" w:bidi="ar-SA"/>
        </w:rPr>
        <w:t>负责实施，旨在根据《中华人民共和国政府采购法实施条例 》规定，每年按时在政采云系统里发放退还保证金公告，退还保证金。项目预算涵盖从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2024年12月31日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本项目预算绩效评价报告的评价范围广泛而全面，涵盖了从项目立项至评价时点期间的所有关键预算活动和财务流程。具体而言，评价范围包括但不限于以下几个方面：</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项目预算编制与执行：全面审视项目预算的编制依据、合理性、科学性以及实际执行情况，包括预算调整的原因和效果。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资金管理：深入分析项目资金的分配、使用和监管情况，确保资金使用的合规性、高效性和透明度。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项目实施进度与产出：评估项目是否按照既定计划顺利推进，各项任务是否按时完成，以及项目产出的数量、质量和时效性是否符合预期。</w:t>
      </w:r>
    </w:p>
    <w:p>
      <w:pPr>
        <w:pStyle w:val="3"/>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kern w:val="2"/>
          <w:sz w:val="32"/>
          <w:szCs w:val="32"/>
          <w:highlight w:val="none"/>
          <w:lang w:val="en-US" w:eastAsia="zh-CN" w:bidi="ar-SA"/>
        </w:rPr>
        <w:t>社会、</w:t>
      </w:r>
      <w:r>
        <w:rPr>
          <w:rFonts w:hint="eastAsia" w:ascii="Times New Roman" w:hAnsi="Times New Roman" w:eastAsia="仿宋_GB2312" w:cs="Times New Roman"/>
          <w:kern w:val="2"/>
          <w:sz w:val="32"/>
          <w:szCs w:val="32"/>
          <w:highlight w:val="none"/>
          <w:lang w:val="en-US" w:eastAsia="zh-CN" w:bidi="ar-SA"/>
        </w:rPr>
        <w:t>生态</w:t>
      </w:r>
      <w:r>
        <w:rPr>
          <w:rFonts w:hint="default" w:ascii="Times New Roman" w:hAnsi="Times New Roman" w:eastAsia="仿宋_GB2312" w:cs="Times New Roman"/>
          <w:kern w:val="2"/>
          <w:sz w:val="32"/>
          <w:szCs w:val="32"/>
          <w:highlight w:val="none"/>
          <w:lang w:val="en-US" w:eastAsia="zh-CN" w:bidi="ar-SA"/>
        </w:rPr>
        <w:t>等影响：考察项目对社会、</w:t>
      </w:r>
      <w:r>
        <w:rPr>
          <w:rFonts w:hint="eastAsia" w:ascii="Times New Roman" w:hAnsi="Times New Roman" w:eastAsia="仿宋_GB2312" w:cs="Times New Roman"/>
          <w:kern w:val="2"/>
          <w:sz w:val="32"/>
          <w:szCs w:val="32"/>
          <w:highlight w:val="none"/>
          <w:lang w:val="en-US" w:eastAsia="zh-CN" w:bidi="ar-SA"/>
        </w:rPr>
        <w:t>生态</w:t>
      </w:r>
      <w:r>
        <w:rPr>
          <w:rFonts w:hint="default" w:ascii="Times New Roman" w:hAnsi="Times New Roman" w:eastAsia="仿宋_GB2312" w:cs="Times New Roman"/>
          <w:kern w:val="2"/>
          <w:sz w:val="32"/>
          <w:szCs w:val="32"/>
          <w:highlight w:val="none"/>
          <w:lang w:val="en-US" w:eastAsia="zh-CN" w:bidi="ar-SA"/>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因素分析法。</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p>
    <w:p>
      <w:pPr>
        <w:shd w:val="clear"/>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sz w:val="32"/>
          <w:szCs w:val="32"/>
          <w:highlight w:val="none"/>
          <w:lang w:val="en-US" w:eastAsia="zh-CN"/>
        </w:rPr>
        <w:t>计划标准。指以预先制定的目标、计划、预算、定额等作为评价标准。</w:t>
      </w:r>
      <w:r>
        <w:rPr>
          <w:rFonts w:hint="eastAsia" w:eastAsia="仿宋_GB2312" w:cs="Times New Roman"/>
          <w:sz w:val="32"/>
          <w:szCs w:val="32"/>
          <w:highlight w:val="none"/>
          <w:lang w:val="en-US" w:eastAsia="zh-CN"/>
        </w:rPr>
        <w:t>采用计划标准进行项目评价，意义重大。计划标准是项目规划的量化呈现，能为项目提供清晰目标导向，让成员明确方向，在执行中便于实施监控，一旦发现偏差可及时调整。</w:t>
      </w:r>
    </w:p>
    <w:p>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（1）前期准备与规划</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（2）指标体系构建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（3）数据收集与整理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（4）数据分析与评估</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（5）报告撰写与反馈</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（6）后续跟踪与改进</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b w:val="0"/>
          <w:bCs w:val="0"/>
          <w:kern w:val="2"/>
          <w:sz w:val="32"/>
          <w:szCs w:val="32"/>
          <w:highlight w:val="none"/>
          <w:lang w:val="en-US" w:eastAsia="zh-CN" w:bidi="ar-SA"/>
        </w:rPr>
        <w:t>政府采购保证金</w:t>
      </w:r>
      <w:r>
        <w:rPr>
          <w:rFonts w:hint="default" w:ascii="Times New Roman" w:hAnsi="Times New Roman" w:eastAsia="仿宋_GB2312" w:cs="Times New Roman"/>
          <w:b w:val="0"/>
          <w:bCs w:val="0"/>
          <w:kern w:val="2"/>
          <w:sz w:val="32"/>
          <w:szCs w:val="32"/>
          <w:highlight w:val="none"/>
          <w:lang w:val="en-US" w:eastAsia="zh-CN" w:bidi="ar-SA"/>
        </w:rPr>
        <w:t>在目标1</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保证金</w:t>
      </w:r>
      <w:r>
        <w:rPr>
          <w:rFonts w:hint="eastAsia" w:ascii="Times New Roman" w:hAnsi="Times New Roman" w:eastAsia="仿宋_GB2312" w:cs="Times New Roman"/>
          <w:b w:val="0"/>
          <w:bCs w:val="0"/>
          <w:kern w:val="2"/>
          <w:sz w:val="32"/>
          <w:szCs w:val="32"/>
          <w:highlight w:val="none"/>
          <w:lang w:val="en-US" w:eastAsia="zh-CN" w:bidi="ar-SA"/>
        </w:rPr>
        <w:t>及时完成</w:t>
      </w:r>
      <w:r>
        <w:rPr>
          <w:rFonts w:hint="default" w:ascii="Times New Roman" w:hAnsi="Times New Roman" w:eastAsia="仿宋_GB2312" w:cs="Times New Roman"/>
          <w:b w:val="0"/>
          <w:bCs w:val="0"/>
          <w:kern w:val="2"/>
          <w:sz w:val="32"/>
          <w:szCs w:val="32"/>
          <w:highlight w:val="none"/>
          <w:lang w:val="en-US" w:eastAsia="zh-CN" w:bidi="ar-SA"/>
        </w:rPr>
        <w:t>支付方面表现出色，达到了预期的标准与要求。</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在项目管理方面，</w:t>
      </w:r>
      <w:r>
        <w:rPr>
          <w:rFonts w:hint="eastAsia" w:ascii="Times New Roman" w:hAnsi="Times New Roman" w:eastAsia="仿宋_GB2312" w:cs="Times New Roman"/>
          <w:b w:val="0"/>
          <w:bCs w:val="0"/>
          <w:kern w:val="2"/>
          <w:sz w:val="32"/>
          <w:szCs w:val="32"/>
          <w:highlight w:val="none"/>
          <w:lang w:val="en-US" w:eastAsia="zh-CN" w:bidi="ar-SA"/>
        </w:rPr>
        <w:t>特克斯县政府采购中心</w:t>
      </w:r>
      <w:r>
        <w:rPr>
          <w:rFonts w:hint="default" w:ascii="Times New Roman" w:hAnsi="Times New Roman" w:eastAsia="仿宋_GB2312" w:cs="Times New Roman"/>
          <w:b w:val="0"/>
          <w:bCs w:val="0"/>
          <w:kern w:val="2"/>
          <w:sz w:val="32"/>
          <w:szCs w:val="32"/>
          <w:highlight w:val="none"/>
          <w:lang w:val="en-US" w:eastAsia="zh-CN" w:bidi="ar-SA"/>
        </w:rPr>
        <w:t>通过有效的规划、组织与协调，项目得以顺利实施，并在预算与时间上保持了良好的控制。</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从项目效益的角度来看，本项目不仅实现了预期的社会效益方面产生了积极的影响。具体而言，效益1</w:t>
      </w:r>
      <w:r>
        <w:rPr>
          <w:rFonts w:hint="eastAsia" w:ascii="Times New Roman" w:hAnsi="Times New Roman" w:eastAsia="仿宋_GB2312" w:cs="Times New Roman"/>
          <w:b w:val="0"/>
          <w:bCs w:val="0"/>
          <w:kern w:val="2"/>
          <w:sz w:val="32"/>
          <w:szCs w:val="32"/>
          <w:highlight w:val="none"/>
          <w:lang w:val="en-US" w:eastAsia="zh-CN" w:bidi="ar-SA"/>
        </w:rPr>
        <w:t>：推动政府采购保证金及时完成支付的工作有序顺利开展</w:t>
      </w:r>
      <w:r>
        <w:rPr>
          <w:rFonts w:hint="default" w:ascii="Times New Roman" w:hAnsi="Times New Roman" w:eastAsia="仿宋_GB2312" w:cs="Times New Roman"/>
          <w:b w:val="0"/>
          <w:bCs w:val="0"/>
          <w:kern w:val="2"/>
          <w:sz w:val="32"/>
          <w:szCs w:val="32"/>
          <w:highlight w:val="none"/>
          <w:lang w:val="en-US" w:eastAsia="zh-CN" w:bidi="ar-SA"/>
        </w:rPr>
        <w:t>方面，为项目的利益相关者带来了实实在在的利益。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w:t>
      </w:r>
      <w:r>
        <w:rPr>
          <w:rFonts w:hint="eastAsia" w:ascii="Times New Roman" w:hAnsi="Times New Roman" w:eastAsia="仿宋_GB2312" w:cs="Times New Roman"/>
          <w:b w:val="0"/>
          <w:bCs w:val="0"/>
          <w:kern w:val="2"/>
          <w:sz w:val="32"/>
          <w:szCs w:val="32"/>
          <w:highlight w:val="none"/>
          <w:lang w:val="en-US" w:eastAsia="zh-CN" w:bidi="ar-SA"/>
        </w:rPr>
        <w:t>政府采购保证金</w:t>
      </w:r>
      <w:r>
        <w:rPr>
          <w:rFonts w:hint="default" w:ascii="Times New Roman" w:hAnsi="Times New Roman" w:eastAsia="仿宋_GB2312" w:cs="Times New Roman"/>
          <w:b w:val="0"/>
          <w:bCs w:val="0"/>
          <w:kern w:val="2"/>
          <w:sz w:val="32"/>
          <w:szCs w:val="32"/>
          <w:highlight w:val="none"/>
          <w:lang w:val="en-US" w:eastAsia="zh-CN" w:bidi="ar-SA"/>
        </w:rPr>
        <w:t>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分，属于“优”。其中，项目决策类指标权重为20分，得分为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 xml:space="preserve">分，得分率为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%。项目过程类指标权重为20分，得分为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%。项目产出类指标权重为40分，得分为</w:t>
      </w:r>
      <w:r>
        <w:rPr>
          <w:rFonts w:hint="eastAsia" w:ascii="Times New Roman" w:hAnsi="Times New Roman" w:eastAsia="仿宋_GB2312" w:cs="Times New Roman"/>
          <w:b w:val="0"/>
          <w:bCs w:val="0"/>
          <w:kern w:val="2"/>
          <w:sz w:val="32"/>
          <w:szCs w:val="32"/>
          <w:highlight w:val="none"/>
          <w:lang w:val="en-US" w:eastAsia="zh-CN" w:bidi="ar-SA"/>
        </w:rPr>
        <w:t>40</w:t>
      </w:r>
      <w:r>
        <w:rPr>
          <w:rFonts w:hint="default" w:ascii="Times New Roman" w:hAnsi="Times New Roman" w:eastAsia="仿宋_GB2312" w:cs="Times New Roman"/>
          <w:b w:val="0"/>
          <w:bCs w:val="0"/>
          <w:kern w:val="2"/>
          <w:sz w:val="32"/>
          <w:szCs w:val="32"/>
          <w:highlight w:val="none"/>
          <w:lang w:val="en-US" w:eastAsia="zh-CN" w:bidi="ar-SA"/>
        </w:rPr>
        <w:t xml:space="preserve">分，得分率为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%。项目效益类指标权重为20分，得分为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%。具体打分情况详见：附件1综合评分表。</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项目决策类指标包括项目立项、绩效目标和资金投入三方面的内容，由</w:t>
      </w: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个三级指标构成，权重分值为20分，实际得分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（1）立项依据充分性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（2）立项程序规范性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项目申请、设立过程符合相关要求，</w:t>
      </w:r>
      <w:r>
        <w:rPr>
          <w:rFonts w:hint="default" w:ascii="Times New Roman" w:hAnsi="Times New Roman" w:eastAsia="仿宋_GB2312" w:cs="Times New Roman"/>
          <w:b w:val="0"/>
          <w:bCs w:val="0"/>
          <w:kern w:val="2"/>
          <w:sz w:val="32"/>
          <w:szCs w:val="32"/>
          <w:highlight w:val="none"/>
          <w:lang w:val="en-US" w:eastAsia="zh-Hans" w:bidi="ar-SA"/>
        </w:rPr>
        <w:t>严格按照审批流程准备符合要求的文件、材料；</w:t>
      </w:r>
      <w:r>
        <w:rPr>
          <w:rFonts w:hint="default" w:ascii="Times New Roman" w:hAnsi="Times New Roman" w:eastAsia="仿宋_GB2312" w:cs="Times New Roman"/>
          <w:b w:val="0"/>
          <w:bCs w:val="0"/>
          <w:kern w:val="2"/>
          <w:sz w:val="32"/>
          <w:szCs w:val="32"/>
          <w:highlight w:val="none"/>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（1）绩效目标合理性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Hans" w:bidi="ar-SA"/>
        </w:rPr>
        <w:t>年初结合实际工作内容</w:t>
      </w:r>
      <w:r>
        <w:rPr>
          <w:rFonts w:hint="default" w:ascii="Times New Roman" w:hAnsi="Times New Roman" w:eastAsia="仿宋_GB2312" w:cs="Times New Roman"/>
          <w:b w:val="0"/>
          <w:bCs w:val="0"/>
          <w:kern w:val="2"/>
          <w:sz w:val="32"/>
          <w:szCs w:val="32"/>
          <w:highlight w:val="none"/>
          <w:lang w:val="en-US" w:eastAsia="zh-CN" w:bidi="ar-SA"/>
        </w:rPr>
        <w:t>设定绩效目标</w:t>
      </w:r>
      <w:r>
        <w:rPr>
          <w:rFonts w:hint="default" w:ascii="Times New Roman" w:hAnsi="Times New Roman" w:eastAsia="仿宋_GB2312" w:cs="Times New Roman"/>
          <w:b w:val="0"/>
          <w:bCs w:val="0"/>
          <w:kern w:val="2"/>
          <w:sz w:val="32"/>
          <w:szCs w:val="32"/>
          <w:highlight w:val="none"/>
          <w:lang w:val="en-US" w:eastAsia="zh-Hans" w:bidi="ar-SA"/>
        </w:rPr>
        <w:t>，绩效目标</w:t>
      </w:r>
      <w:r>
        <w:rPr>
          <w:rFonts w:hint="default" w:ascii="Times New Roman" w:hAnsi="Times New Roman" w:eastAsia="仿宋_GB2312" w:cs="Times New Roman"/>
          <w:b w:val="0"/>
          <w:bCs w:val="0"/>
          <w:kern w:val="2"/>
          <w:sz w:val="32"/>
          <w:szCs w:val="32"/>
          <w:highlight w:val="none"/>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（2）绩效指标明确性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项目设置了明确的预期产出效益和效果，将</w:t>
      </w:r>
      <w:bookmarkStart w:id="3" w:name="_GoBack"/>
      <w:bookmarkEnd w:id="3"/>
      <w:r>
        <w:rPr>
          <w:rFonts w:hint="default" w:ascii="Times New Roman" w:hAnsi="Times New Roman" w:eastAsia="仿宋_GB2312" w:cs="Times New Roman"/>
          <w:b w:val="0"/>
          <w:bCs w:val="0"/>
          <w:kern w:val="2"/>
          <w:sz w:val="32"/>
          <w:szCs w:val="32"/>
          <w:highlight w:val="none"/>
          <w:lang w:val="en-US" w:eastAsia="zh-CN" w:bidi="ar-SA"/>
        </w:rPr>
        <w:t>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（1）预算编制科学性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（2）资金分配合理性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项目过程类指标包括资金管理和组织实施两方面的内容，由</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个三级指标构成，权重分值为20分，实际得分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（1）资金到位率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本项目总投资</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万元，财政资金及时足额到位，到位率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%，预算资金按计划进度执行。</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（2）预算执行率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预算编制较为详细，项目资金支出总体能够按照预算执行，预算资金支出</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（3）资金使用合规性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本项目的资金使用严格遵循了国家相关法律法规与财务制度，确保了资金的合规性与安全性。在资金使用过程中，我们建立了完善的财务管理体系，对资金的流动进行了全程监控与记录。</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（1）管理制度健全性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本项目拥有一套完善、健全的管理制度体系，为项目的成功实施提供了坚实的制度保障。项目管理制度的制定紧密结合了项目的特点与实际情况，涵盖了项目的策划、组织、实施、监控与收尾等各个环节。</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在制度设计上，我们注重了制度的科学性与可操作性，确保制度能够切实指导项目的执行与管理。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综上所述，本项目的管理制度是健全的、有效的，既符合项目的实际情况，又满足了项目管理的需要。管理制度的健全性为项目的成功实施提供了有力的保障，也为项目的绩效评价奠定了坚实的基础。</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（2）制度执行有效性</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在具体执行过程中，项目团队成员严格按照制度要求进行操作。同时，我们还建立了有效的沟通机制与反馈机制，确保项目信息的及时传递与问题的及时解决，进一步提高了制度执行的效率与效果。</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项目产出类指标包括产出数量、产出质量、产出时效、产出成本四方面的内容，由</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个三级指标构成，权重分为40分，实际得分</w:t>
      </w:r>
      <w:r>
        <w:rPr>
          <w:rFonts w:hint="eastAsia" w:ascii="Times New Roman" w:hAnsi="Times New Roman" w:eastAsia="仿宋_GB2312" w:cs="Times New Roman"/>
          <w:b w:val="0"/>
          <w:bCs w:val="0"/>
          <w:kern w:val="2"/>
          <w:sz w:val="32"/>
          <w:szCs w:val="32"/>
          <w:highlight w:val="none"/>
          <w:lang w:val="en-US" w:eastAsia="zh-CN" w:bidi="ar-SA"/>
        </w:rPr>
        <w:t>40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%。具体产出指标完成情况如下：</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1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①</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数量指标：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指标1：退保证金供应商个数，指标值：=1个，实际完成值：</w:t>
      </w:r>
      <w:r>
        <w:rPr>
          <w:rFonts w:hint="eastAsia" w:ascii="Times New Roman" w:hAnsi="Times New Roman" w:eastAsia="仿宋_GB2312" w:cs="Times New Roman"/>
          <w:b w:val="0"/>
          <w:bCs w:val="0"/>
          <w:kern w:val="2"/>
          <w:sz w:val="32"/>
          <w:szCs w:val="32"/>
          <w:highlight w:val="none"/>
          <w:lang w:val="en-US" w:eastAsia="zh-CN" w:bidi="ar-SA"/>
        </w:rPr>
        <w:t>1个</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2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②</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质量指标：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指标1：保证金保障率，指标值：&gt;=</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3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③</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时效指标：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指标1：保证金费支付及时率，指标值：&gt;=</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4 \* GB3 \* MERGEFORMAT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④</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成本</w:t>
      </w:r>
      <w:r>
        <w:rPr>
          <w:rFonts w:hint="default" w:ascii="Times New Roman" w:hAnsi="Times New Roman" w:eastAsia="仿宋_GB2312" w:cs="Times New Roman"/>
          <w:b w:val="0"/>
          <w:bCs w:val="0"/>
          <w:kern w:val="2"/>
          <w:sz w:val="32"/>
          <w:szCs w:val="32"/>
          <w:highlight w:val="none"/>
          <w:lang w:val="en-US" w:eastAsia="zh-CN" w:bidi="ar-SA"/>
        </w:rPr>
        <w:t>指标：</w:t>
      </w:r>
    </w:p>
    <w:p>
      <w:pPr>
        <w:pStyle w:val="11"/>
        <w:widowControl w:val="0"/>
        <w:spacing w:before="0" w:after="0" w:line="560" w:lineRule="exact"/>
        <w:ind w:firstLine="640" w:firstLineChars="200"/>
        <w:jc w:val="both"/>
        <w:outlineLvl w:val="9"/>
        <w:rPr>
          <w:rFonts w:hint="default"/>
          <w:lang w:val="en-US" w:eastAsia="zh-CN"/>
        </w:rPr>
      </w:pPr>
      <w:r>
        <w:rPr>
          <w:rFonts w:hint="default" w:ascii="Times New Roman" w:hAnsi="Times New Roman" w:eastAsia="仿宋_GB2312" w:cs="Times New Roman"/>
          <w:b w:val="0"/>
          <w:bCs w:val="0"/>
          <w:kern w:val="2"/>
          <w:sz w:val="32"/>
          <w:szCs w:val="32"/>
          <w:highlight w:val="none"/>
          <w:lang w:val="en-US" w:eastAsia="zh-CN" w:bidi="ar-SA"/>
        </w:rPr>
        <w:t>指标1：保证金资金，指标值：</w:t>
      </w:r>
      <w:r>
        <w:rPr>
          <w:rFonts w:hint="default" w:ascii="Arial" w:hAnsi="Arial" w:eastAsia="仿宋_GB2312" w:cs="Arial"/>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3万元</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3万元</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项目效益类指标包括项目实施效益和满意度两方面的内容，由</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个三级指标构成，权重分为20分，实际得分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%。具体效益指标及满意度指标完成情况如下：</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实施效益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①社会效益指标：</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指标1：推动各项工作有序、顺利进行，指标值：</w:t>
      </w:r>
      <w:r>
        <w:rPr>
          <w:rFonts w:hint="eastAsia" w:ascii="Times New Roman" w:hAnsi="Times New Roman" w:eastAsia="仿宋_GB2312" w:cs="Times New Roman"/>
          <w:b w:val="0"/>
          <w:bCs w:val="0"/>
          <w:kern w:val="2"/>
          <w:sz w:val="32"/>
          <w:szCs w:val="32"/>
          <w:highlight w:val="none"/>
          <w:lang w:val="en-US" w:eastAsia="zh-CN" w:bidi="ar-SA"/>
        </w:rPr>
        <w:t>有效推动</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有效推动</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满意度</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指标1：干部职工满意度，指标值：&gt;=95%，实际完成值：</w:t>
      </w:r>
      <w:r>
        <w:rPr>
          <w:rFonts w:hint="eastAsia" w:ascii="Times New Roman" w:hAnsi="Times New Roman" w:eastAsia="仿宋_GB2312" w:cs="Times New Roman"/>
          <w:b w:val="0"/>
          <w:bCs w:val="0"/>
          <w:kern w:val="2"/>
          <w:sz w:val="32"/>
          <w:szCs w:val="32"/>
          <w:highlight w:val="none"/>
          <w:lang w:val="en-US" w:eastAsia="zh-CN" w:bidi="ar-SA"/>
        </w:rPr>
        <w:t>95%</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105.26</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在数据统计过程中，可能存在错误或疏漏，导致实际完成数据被高估，从而使完成率出现偏差</w:t>
      </w:r>
      <w:r>
        <w:rPr>
          <w:rFonts w:hint="default" w:ascii="Times New Roman" w:hAnsi="Times New Roman" w:eastAsia="仿宋_GB2312" w:cs="Times New Roman"/>
          <w:b w:val="0"/>
          <w:bCs w:val="0"/>
          <w:kern w:val="2"/>
          <w:sz w:val="32"/>
          <w:szCs w:val="32"/>
          <w:highlight w:val="none"/>
          <w:lang w:val="en-US" w:eastAsia="zh-CN" w:bidi="ar-SA"/>
        </w:rPr>
        <w:t>。</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：用供应商满意度，指标值：&gt;=95%，实际完成值：95%，指标完成率</w:t>
      </w:r>
      <w:r>
        <w:rPr>
          <w:rFonts w:hint="eastAsia" w:ascii="Times New Roman" w:hAnsi="Times New Roman" w:eastAsia="仿宋_GB2312" w:cs="Times New Roman"/>
          <w:b w:val="0"/>
          <w:bCs w:val="0"/>
          <w:kern w:val="2"/>
          <w:sz w:val="32"/>
          <w:szCs w:val="32"/>
          <w:highlight w:val="none"/>
          <w:lang w:val="en-US" w:eastAsia="zh-CN" w:bidi="ar-SA"/>
        </w:rPr>
        <w:t>105.26</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在数据统计过程中，可能存在错误或疏漏，导致实际完成数据被高估，从而使完成率出现偏差</w:t>
      </w:r>
      <w:r>
        <w:rPr>
          <w:rFonts w:hint="default" w:ascii="Times New Roman" w:hAnsi="Times New Roman" w:eastAsia="仿宋_GB2312" w:cs="Times New Roman"/>
          <w:b w:val="0"/>
          <w:bCs w:val="0"/>
          <w:kern w:val="2"/>
          <w:sz w:val="32"/>
          <w:szCs w:val="32"/>
          <w:highlight w:val="none"/>
          <w:lang w:val="en-US" w:eastAsia="zh-CN" w:bidi="ar-SA"/>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政府采购保证金</w:t>
      </w:r>
      <w:r>
        <w:rPr>
          <w:rFonts w:hint="default" w:ascii="Times New Roman" w:hAnsi="Times New Roman" w:eastAsia="仿宋_GB2312" w:cs="Times New Roman"/>
          <w:b w:val="0"/>
          <w:bCs w:val="0"/>
          <w:kern w:val="2"/>
          <w:sz w:val="32"/>
          <w:szCs w:val="32"/>
          <w:highlight w:val="none"/>
          <w:lang w:val="en-US" w:eastAsia="zh-CN" w:bidi="ar-SA"/>
        </w:rPr>
        <w:t>项目年初预算</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万元，全年预算</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万元，实际支出</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%，项目绩效指标总体完成率为</w:t>
      </w:r>
      <w:r>
        <w:rPr>
          <w:rFonts w:hint="eastAsia" w:ascii="Times New Roman" w:hAnsi="Times New Roman" w:eastAsia="仿宋_GB2312" w:cs="Times New Roman"/>
          <w:b w:val="0"/>
          <w:bCs w:val="0"/>
          <w:kern w:val="2"/>
          <w:sz w:val="32"/>
          <w:szCs w:val="32"/>
          <w:highlight w:val="none"/>
          <w:lang w:val="en-US" w:eastAsia="zh-CN" w:bidi="ar-SA"/>
        </w:rPr>
        <w:t>101.43</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Hans" w:bidi="ar-SA"/>
        </w:rPr>
        <w:t>总体</w:t>
      </w:r>
      <w:r>
        <w:rPr>
          <w:rFonts w:hint="default" w:ascii="Times New Roman" w:hAnsi="Times New Roman" w:eastAsia="仿宋_GB2312" w:cs="Times New Roman"/>
          <w:b w:val="0"/>
          <w:bCs w:val="0"/>
          <w:kern w:val="2"/>
          <w:sz w:val="32"/>
          <w:szCs w:val="32"/>
          <w:highlight w:val="none"/>
          <w:lang w:val="en-US" w:eastAsia="zh-CN" w:bidi="ar-SA"/>
        </w:rPr>
        <w:t>偏差率为</w:t>
      </w:r>
      <w:r>
        <w:rPr>
          <w:rFonts w:hint="eastAsia" w:ascii="Times New Roman" w:hAnsi="Times New Roman" w:eastAsia="仿宋_GB2312" w:cs="Times New Roman"/>
          <w:b w:val="0"/>
          <w:bCs w:val="0"/>
          <w:kern w:val="2"/>
          <w:sz w:val="32"/>
          <w:szCs w:val="32"/>
          <w:highlight w:val="none"/>
          <w:lang w:val="en-US" w:eastAsia="zh-CN" w:bidi="ar-SA"/>
        </w:rPr>
        <w:t>1.43</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Hans" w:bidi="ar-SA"/>
        </w:rPr>
        <w:t>偏差</w:t>
      </w:r>
      <w:r>
        <w:rPr>
          <w:rFonts w:hint="default" w:ascii="Times New Roman" w:hAnsi="Times New Roman" w:eastAsia="仿宋_GB2312" w:cs="Times New Roman"/>
          <w:b w:val="0"/>
          <w:bCs w:val="0"/>
          <w:kern w:val="2"/>
          <w:sz w:val="32"/>
          <w:szCs w:val="32"/>
          <w:highlight w:val="none"/>
          <w:lang w:val="en-US" w:eastAsia="zh-CN" w:bidi="ar-SA"/>
        </w:rPr>
        <w:t>原因</w:t>
      </w:r>
      <w:r>
        <w:rPr>
          <w:rFonts w:hint="eastAsia" w:ascii="Times New Roman" w:hAnsi="Times New Roman" w:eastAsia="仿宋_GB2312" w:cs="Times New Roman"/>
          <w:b w:val="0"/>
          <w:bCs w:val="0"/>
          <w:kern w:val="2"/>
          <w:sz w:val="32"/>
          <w:szCs w:val="32"/>
          <w:highlight w:val="none"/>
          <w:lang w:val="en-US" w:eastAsia="zh-CN" w:bidi="ar-SA"/>
        </w:rPr>
        <w:t>：在数据统计过程中，可能存在错误或疏漏，导致实际完成数据被高估，从而使完成率出现偏差</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Hans" w:bidi="ar-SA"/>
        </w:rPr>
        <w:t>改进</w:t>
      </w:r>
      <w:r>
        <w:rPr>
          <w:rFonts w:hint="default" w:ascii="Times New Roman" w:hAnsi="Times New Roman" w:eastAsia="仿宋_GB2312" w:cs="Times New Roman"/>
          <w:b w:val="0"/>
          <w:bCs w:val="0"/>
          <w:kern w:val="2"/>
          <w:sz w:val="32"/>
          <w:szCs w:val="32"/>
          <w:highlight w:val="none"/>
          <w:lang w:val="en-US" w:eastAsia="zh-CN" w:bidi="ar-SA"/>
        </w:rPr>
        <w:t>措施</w:t>
      </w:r>
      <w:r>
        <w:rPr>
          <w:rFonts w:hint="eastAsia" w:ascii="Times New Roman" w:hAnsi="Times New Roman" w:eastAsia="仿宋_GB2312" w:cs="Times New Roman"/>
          <w:b w:val="0"/>
          <w:bCs w:val="0"/>
          <w:kern w:val="2"/>
          <w:sz w:val="32"/>
          <w:szCs w:val="32"/>
          <w:highlight w:val="none"/>
          <w:lang w:val="en-US" w:eastAsia="zh-CN" w:bidi="ar-SA"/>
        </w:rPr>
        <w:t>：强化数据管理，对完成数据进行全面复查，建立交叉核对机制，保证数据核算准确</w:t>
      </w:r>
      <w:r>
        <w:rPr>
          <w:rFonts w:hint="default" w:ascii="Times New Roman" w:hAnsi="Times New Roman" w:eastAsia="仿宋_GB2312" w:cs="Times New Roman"/>
          <w:b w:val="0"/>
          <w:bCs w:val="0"/>
          <w:kern w:val="2"/>
          <w:sz w:val="32"/>
          <w:szCs w:val="32"/>
          <w:highlight w:val="none"/>
          <w:lang w:val="en-US" w:eastAsia="zh-CN" w:bidi="ar-SA"/>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严格坚持先做事、后验收、再拨付的原则，</w:t>
      </w:r>
      <w:r>
        <w:rPr>
          <w:rFonts w:hint="eastAsia" w:ascii="Times New Roman" w:hAnsi="Times New Roman" w:eastAsia="仿宋_GB2312" w:cs="Times New Roman"/>
          <w:b w:val="0"/>
          <w:bCs w:val="0"/>
          <w:kern w:val="2"/>
          <w:sz w:val="32"/>
          <w:szCs w:val="32"/>
          <w:highlight w:val="none"/>
          <w:lang w:val="en-US" w:eastAsia="zh-CN" w:bidi="ar-SA"/>
        </w:rPr>
        <w:t>杜绝</w:t>
      </w:r>
      <w:r>
        <w:rPr>
          <w:rFonts w:hint="default" w:ascii="Times New Roman" w:hAnsi="Times New Roman" w:eastAsia="仿宋_GB2312" w:cs="Times New Roman"/>
          <w:b w:val="0"/>
          <w:bCs w:val="0"/>
          <w:kern w:val="2"/>
          <w:sz w:val="32"/>
          <w:szCs w:val="32"/>
          <w:highlight w:val="none"/>
          <w:lang w:val="en-US" w:eastAsia="zh-CN" w:bidi="ar-SA"/>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1.多进行有关绩效管理工作方面的培训。积极组织第三方开展绩效管理工作培训，进一步夯实业务基础，提高我单位绩效人员水平。</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.进一步完善项目评价过程中有关数据和资料的收集、整理、审核及分析。项目启动时同步做好档案的归纳与整理，及时整理、收集、汇总，健全档案资料。项目后续管理有待进一步加强和跟踪。</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w:t>
      </w:r>
      <w:r>
        <w:rPr>
          <w:rFonts w:hint="default" w:ascii="Times New Roman" w:hAnsi="Times New Roman" w:eastAsia="仿宋_GB2312" w:cs="Times New Roman"/>
          <w:b w:val="0"/>
          <w:bCs w:val="0"/>
          <w:kern w:val="2"/>
          <w:sz w:val="32"/>
          <w:szCs w:val="32"/>
          <w:highlight w:val="none"/>
          <w:lang w:val="en-US" w:eastAsia="zh-CN" w:bidi="ar-SA"/>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Hans" w:bidi="ar-SA"/>
        </w:rPr>
      </w:pPr>
      <w:r>
        <w:rPr>
          <w:rFonts w:hint="default" w:ascii="Times New Roman" w:hAnsi="Times New Roman" w:eastAsia="仿宋_GB2312" w:cs="Times New Roman"/>
          <w:b w:val="0"/>
          <w:bCs w:val="0"/>
          <w:kern w:val="2"/>
          <w:sz w:val="32"/>
          <w:szCs w:val="32"/>
          <w:highlight w:val="none"/>
          <w:lang w:val="en-US" w:eastAsia="zh-Hans" w:bidi="ar-SA"/>
        </w:rPr>
        <w:t>本项目无其他需说明的问题。</w:t>
      </w:r>
    </w:p>
    <w:p>
      <w:pPr>
        <w:pStyle w:val="11"/>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default" w:ascii="Times New Roman" w:hAnsi="Times New Roman" w:eastAsia="仿宋_GB2312" w:cs="Times New Roman"/>
          <w:sz w:val="32"/>
          <w:szCs w:val="32"/>
        </w:rPr>
      </w:pPr>
    </w:p>
    <w:p>
      <w:pPr>
        <w:pStyle w:val="14"/>
        <w:spacing w:after="0" w:line="560" w:lineRule="exact"/>
        <w:ind w:left="0" w:leftChars="0" w:firstLine="640"/>
        <w:rPr>
          <w:rFonts w:hint="default" w:ascii="Times New Roman" w:hAnsi="Times New Roman" w:eastAsia="仿宋_GB2312" w:cs="Times New Roman"/>
          <w:sz w:val="32"/>
          <w:szCs w:val="32"/>
        </w:rPr>
      </w:pPr>
    </w:p>
    <w:p>
      <w:pPr>
        <w:pStyle w:val="14"/>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政府采购保证金项目</w:t>
      </w:r>
      <w:r>
        <w:rPr>
          <w:rFonts w:hint="eastAsia" w:ascii="仿宋_GB2312" w:hAnsi="仿宋_GB2312" w:eastAsia="仿宋_GB2312" w:cs="仿宋_GB2312"/>
          <w:b/>
          <w:bCs/>
          <w:sz w:val="28"/>
          <w:szCs w:val="40"/>
        </w:rPr>
        <w:t>绩效评价指标体系及综合评分表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政府采购保证金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特克斯县政府采购中心</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特克斯县政府采购中心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根据《中华人民共和国政府采购法实施条例 》规定，每年按时在政采云系统里发放退还保证金公告，退还保证金。</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通过规范保证金管理，降低采购风险，提升资金使用效率。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退保证金供应商个数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保证金保障率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保证金费支付及时率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保证金资金</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&lt;=3万元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3万元</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3万元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推动各项工作有序、顺利进行</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有效推动</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有效推动</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有效推动</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干部职工满意度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用供应商满意度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2BD1069"/>
    <w:multiLevelType w:val="singleLevel"/>
    <w:tmpl w:val="62BD1069"/>
    <w:lvl w:ilvl="0" w:tentative="0">
      <w:start w:val="1"/>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14619F4"/>
    <w:rsid w:val="12C66037"/>
    <w:rsid w:val="12CD1ABC"/>
    <w:rsid w:val="13471461"/>
    <w:rsid w:val="13B90F01"/>
    <w:rsid w:val="155E4C4D"/>
    <w:rsid w:val="181066D2"/>
    <w:rsid w:val="1C671E73"/>
    <w:rsid w:val="1D322C47"/>
    <w:rsid w:val="23616034"/>
    <w:rsid w:val="23696C97"/>
    <w:rsid w:val="24480FA2"/>
    <w:rsid w:val="25227A45"/>
    <w:rsid w:val="26AC3A6A"/>
    <w:rsid w:val="2B9D7E25"/>
    <w:rsid w:val="2C7C7A3B"/>
    <w:rsid w:val="2F364819"/>
    <w:rsid w:val="2FAC6FC4"/>
    <w:rsid w:val="2FD63906"/>
    <w:rsid w:val="37215DAE"/>
    <w:rsid w:val="372C1DD4"/>
    <w:rsid w:val="38CA40DD"/>
    <w:rsid w:val="395F2B56"/>
    <w:rsid w:val="3BBA0580"/>
    <w:rsid w:val="3BECE841"/>
    <w:rsid w:val="3CA113AE"/>
    <w:rsid w:val="3CDE204C"/>
    <w:rsid w:val="3D363C36"/>
    <w:rsid w:val="3E9C3F6D"/>
    <w:rsid w:val="3FF7797D"/>
    <w:rsid w:val="45187F57"/>
    <w:rsid w:val="45E66705"/>
    <w:rsid w:val="46690BD8"/>
    <w:rsid w:val="46A97252"/>
    <w:rsid w:val="49F70BF1"/>
    <w:rsid w:val="4B4340EE"/>
    <w:rsid w:val="4FC85543"/>
    <w:rsid w:val="503D507A"/>
    <w:rsid w:val="51FA74D0"/>
    <w:rsid w:val="52AA4A52"/>
    <w:rsid w:val="59943D66"/>
    <w:rsid w:val="59E051FD"/>
    <w:rsid w:val="59E6355E"/>
    <w:rsid w:val="5B821531"/>
    <w:rsid w:val="5BFF6039"/>
    <w:rsid w:val="5D0E3713"/>
    <w:rsid w:val="5D76A616"/>
    <w:rsid w:val="5D7F20B9"/>
    <w:rsid w:val="5DAC7D0E"/>
    <w:rsid w:val="5F98B5AF"/>
    <w:rsid w:val="5FFE8511"/>
    <w:rsid w:val="5FFEACE2"/>
    <w:rsid w:val="609D5BF6"/>
    <w:rsid w:val="61073070"/>
    <w:rsid w:val="612E40AE"/>
    <w:rsid w:val="61B9080E"/>
    <w:rsid w:val="61DF3FED"/>
    <w:rsid w:val="642B176B"/>
    <w:rsid w:val="643EE26D"/>
    <w:rsid w:val="64582A77"/>
    <w:rsid w:val="656019A0"/>
    <w:rsid w:val="65F242EE"/>
    <w:rsid w:val="666D7E19"/>
    <w:rsid w:val="68376930"/>
    <w:rsid w:val="68F91E38"/>
    <w:rsid w:val="6A1B4402"/>
    <w:rsid w:val="6B3158B9"/>
    <w:rsid w:val="6BA02A3F"/>
    <w:rsid w:val="6C1E5A53"/>
    <w:rsid w:val="6F5C41AC"/>
    <w:rsid w:val="6FAF6C78"/>
    <w:rsid w:val="70581264"/>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EB583D"/>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17</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2025-07-21T03:39:29Z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