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特克斯县政府采购中心2024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（1）组织政府采购活动、负责组织实施本度集中采购目录以内或限额标准以上通用项目的政府采购、办理政府采购监督管理部门交办的其他采购项目。</w:t>
      </w:r>
    </w:p>
    <w:p>
      <w:pPr>
        <w:spacing w:line="580" w:lineRule="exact"/>
        <w:ind w:firstLine="640"/>
        <w:jc w:val="both"/>
      </w:pPr>
      <w:r>
        <w:rPr>
          <w:rFonts w:ascii="仿宋_GB2312" w:hAnsi="仿宋_GB2312" w:eastAsia="仿宋_GB2312"/>
          <w:sz w:val="32"/>
        </w:rPr>
        <w:t>（2）发布政府采购信息，在政府采购监督管理部门指定媒体发布政府采购公告、中标（成交）公告等有关采购信息。</w:t>
      </w:r>
    </w:p>
    <w:p>
      <w:pPr>
        <w:spacing w:line="580" w:lineRule="exact"/>
        <w:ind w:firstLine="640"/>
        <w:jc w:val="both"/>
      </w:pPr>
      <w:r>
        <w:rPr>
          <w:rFonts w:ascii="仿宋_GB2312" w:hAnsi="仿宋_GB2312" w:eastAsia="仿宋_GB2312"/>
          <w:sz w:val="32"/>
        </w:rPr>
        <w:t>（3）编制采购文件、制定评标原则和评分标准等。</w:t>
      </w:r>
    </w:p>
    <w:p>
      <w:pPr>
        <w:spacing w:line="580" w:lineRule="exact"/>
        <w:ind w:firstLine="640"/>
        <w:jc w:val="both"/>
      </w:pPr>
      <w:r>
        <w:rPr>
          <w:rFonts w:ascii="仿宋_GB2312" w:hAnsi="仿宋_GB2312" w:eastAsia="仿宋_GB2312"/>
          <w:sz w:val="32"/>
        </w:rPr>
        <w:t>（4）向同级政府采购监督管理机构报送有关采购项目的采购公告、采购文件、评标办法、评标报告等管理政府采购项目文件档案。</w:t>
      </w:r>
    </w:p>
    <w:p>
      <w:pPr>
        <w:spacing w:line="580" w:lineRule="exact"/>
        <w:ind w:firstLine="640"/>
        <w:jc w:val="both"/>
      </w:pPr>
      <w:r>
        <w:rPr>
          <w:rFonts w:ascii="仿宋_GB2312" w:hAnsi="仿宋_GB2312" w:eastAsia="仿宋_GB2312"/>
          <w:sz w:val="32"/>
        </w:rPr>
        <w:t>（5）按照《政府采购法》的有关规定负责“评标委员会”“谈判小组”“询价小组”的组建工作。</w:t>
      </w:r>
    </w:p>
    <w:p>
      <w:pPr>
        <w:spacing w:line="580" w:lineRule="exact"/>
        <w:ind w:firstLine="640"/>
        <w:jc w:val="both"/>
      </w:pPr>
      <w:r>
        <w:rPr>
          <w:rFonts w:ascii="仿宋_GB2312" w:hAnsi="仿宋_GB2312" w:eastAsia="仿宋_GB2312"/>
          <w:sz w:val="32"/>
        </w:rPr>
        <w:t>（6）受理和答复供应商的询问或者质疑。</w:t>
      </w:r>
    </w:p>
    <w:p>
      <w:pPr>
        <w:spacing w:line="580" w:lineRule="exact"/>
        <w:ind w:firstLine="640"/>
        <w:jc w:val="both"/>
      </w:pPr>
      <w:r>
        <w:rPr>
          <w:rFonts w:ascii="仿宋_GB2312" w:hAnsi="仿宋_GB2312" w:eastAsia="仿宋_GB2312"/>
          <w:sz w:val="32"/>
        </w:rPr>
        <w:t>（7）管理采购人员负责机构内部工作人员的教育和培训、科学设置内部机构、制定内部工作管理办法。</w:t>
      </w:r>
    </w:p>
    <w:p>
      <w:pPr>
        <w:spacing w:line="580" w:lineRule="exact"/>
        <w:ind w:firstLine="640"/>
        <w:jc w:val="both"/>
      </w:pPr>
      <w:r>
        <w:rPr>
          <w:rFonts w:ascii="仿宋_GB2312" w:hAnsi="仿宋_GB2312" w:eastAsia="仿宋_GB2312"/>
          <w:sz w:val="32"/>
        </w:rPr>
        <w:t>（8）负责政采云平台供应商入驻，审核上传商品。</w:t>
      </w:r>
    </w:p>
    <w:p>
      <w:pPr>
        <w:spacing w:line="580" w:lineRule="exact"/>
        <w:ind w:firstLine="640"/>
        <w:jc w:val="both"/>
      </w:pPr>
      <w:r>
        <w:rPr>
          <w:rFonts w:ascii="仿宋_GB2312" w:hAnsi="仿宋_GB2312" w:eastAsia="仿宋_GB2312"/>
          <w:sz w:val="32"/>
        </w:rPr>
        <w:t>（9）接受同级政府采购监督管理机构的业务考核和监督检查。</w:t>
      </w:r>
    </w:p>
    <w:p>
      <w:pPr>
        <w:spacing w:line="580" w:lineRule="exact"/>
        <w:ind w:firstLine="640"/>
        <w:jc w:val="both"/>
      </w:pPr>
      <w:r>
        <w:rPr>
          <w:rFonts w:ascii="仿宋_GB2312" w:hAnsi="仿宋_GB2312" w:eastAsia="仿宋_GB2312"/>
          <w:sz w:val="32"/>
        </w:rPr>
        <w:t>（10）完成县委、政府交办的其它工作。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特克斯县政府采购中心2024年度，实有人数4人，其中：在职人员3人，增加1人；离休人员0人，增加0人；退休人员1人,增加0人。</w:t>
      </w:r>
    </w:p>
    <w:p>
      <w:pPr>
        <w:spacing w:line="580" w:lineRule="exact"/>
        <w:ind w:firstLine="640"/>
        <w:jc w:val="both"/>
      </w:pPr>
      <w:r>
        <w:rPr>
          <w:rFonts w:ascii="仿宋_GB2312" w:hAnsi="仿宋_GB2312" w:eastAsia="仿宋_GB2312"/>
          <w:sz w:val="32"/>
        </w:rPr>
        <w:t>单位无下属预算单位，下设2个科室，分别是：办公室、财务室。。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2024年度收入总计51.10万元，</w:t>
      </w:r>
      <w:r>
        <w:rPr>
          <w:rFonts w:ascii="仿宋_GB2312" w:hAnsi="仿宋_GB2312" w:eastAsia="仿宋_GB2312"/>
          <w:b w:val="0"/>
          <w:sz w:val="32"/>
        </w:rPr>
        <w:t>其中：本年收入合计51.10万元，使用非财政拨款结余（含专用结余）0.00万元，年初结转和结余0.00万元。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2024年度支出总计51.10万元，</w:t>
      </w:r>
      <w:r>
        <w:rPr>
          <w:rFonts w:ascii="仿宋_GB2312" w:hAnsi="仿宋_GB2312" w:eastAsia="仿宋_GB2312"/>
          <w:b w:val="0"/>
          <w:sz w:val="32"/>
        </w:rPr>
        <w:t>其中：本年支出合计51.10万元，结余分配0.00万元，年末结转和结余0.00万元。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增加4.75万元，增长10.25%，主要原因是：本年在职人员工资调增，社保、公积金基数调增，人员经费增加。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本年收入51.10万元，</w:t>
      </w:r>
      <w:r>
        <w:rPr>
          <w:rFonts w:ascii="仿宋_GB2312" w:hAnsi="仿宋_GB2312" w:eastAsia="仿宋_GB2312"/>
          <w:b w:val="0"/>
          <w:sz w:val="32"/>
        </w:rPr>
        <w:t>其中：财政拨款收入48.10万元，占94.13%；上级补助收入0.00万元，占0.00%；事业收入0.00万元，占0.00%；经营收入0.00万元，占0.00%；附属单位上缴收入0.00万元，占0.00%；其他收入3.00万元，占5.87%。</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本年支出51.10万元，</w:t>
      </w:r>
      <w:r>
        <w:rPr>
          <w:rFonts w:ascii="仿宋_GB2312" w:hAnsi="仿宋_GB2312" w:eastAsia="仿宋_GB2312"/>
          <w:b w:val="0"/>
          <w:sz w:val="32"/>
        </w:rPr>
        <w:t>其中：基本支出51.10万元，占100.00%；项目支出0.00万元，占0.00%；上缴上级支出0.00万元，占0.00%；经营支出0.00万元，占0.00%；对附属单位补助支出0.00万元，占0.00%。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2024年度财政拨款收入总计48.10万元，</w:t>
      </w:r>
      <w:r>
        <w:rPr>
          <w:rFonts w:ascii="仿宋_GB2312" w:hAnsi="仿宋_GB2312" w:eastAsia="仿宋_GB2312"/>
          <w:b w:val="0"/>
          <w:sz w:val="32"/>
        </w:rPr>
        <w:t>其中：年初财政拨款结转和结余0.00万元，本年财政拨款收入48.10万元。</w:t>
      </w:r>
      <w:r>
        <w:rPr>
          <w:rFonts w:ascii="仿宋_GB2312" w:hAnsi="仿宋_GB2312" w:eastAsia="仿宋_GB2312"/>
          <w:b/>
          <w:sz w:val="32"/>
        </w:rPr>
        <w:t>财政拨款支出总计48.10万元，</w:t>
      </w:r>
      <w:r>
        <w:rPr>
          <w:rFonts w:ascii="仿宋_GB2312" w:hAnsi="仿宋_GB2312" w:eastAsia="仿宋_GB2312"/>
          <w:b w:val="0"/>
          <w:sz w:val="32"/>
        </w:rPr>
        <w:t>其中：年末财政拨款结转和结余0.00万元，本年财政拨款支出48.10万元。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增加1.75万元，增长3.78%，主要原因是：本年在职人员工资调增，社保、公积金基数调增，人员经费增加。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年初预算数33.72万元，决算数48.10万元，预决算差异率42.65%，主要原因是：本年在职人员增加，年中追加人员经费及人员工资、社保、公积金基数调增部分资金，导致预决算存在差异。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2024年度一般公共预算财政拨款支出48.10万元，</w:t>
      </w:r>
      <w:r>
        <w:rPr>
          <w:rFonts w:ascii="仿宋_GB2312" w:hAnsi="仿宋_GB2312" w:eastAsia="仿宋_GB2312"/>
          <w:b w:val="0"/>
          <w:sz w:val="32"/>
        </w:rPr>
        <w:t>占本年支出合计的94.13%。</w:t>
      </w:r>
      <w:r>
        <w:rPr>
          <w:rFonts w:ascii="仿宋_GB2312" w:hAnsi="仿宋_GB2312" w:eastAsia="仿宋_GB2312"/>
          <w:b/>
          <w:sz w:val="32"/>
        </w:rPr>
        <w:t>与上年相比，</w:t>
      </w:r>
      <w:r>
        <w:rPr>
          <w:rFonts w:ascii="仿宋_GB2312" w:hAnsi="仿宋_GB2312" w:eastAsia="仿宋_GB2312"/>
          <w:b w:val="0"/>
          <w:sz w:val="32"/>
        </w:rPr>
        <w:t>增加1.75万元，增长3.78%，主要原因是：本年在职人员工资调增，社保、公积金基数调增，人员经费增加。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年初预算数33.72万元，决算数48.10万元，预决算差异率42.65%，主要原因是：本年在职人员增加，年中追加人员经费及人员工资、社保、公积金基数调增部分资金，导致预决算存在差异。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1.一般公共服务支出(类)37.39万元,占77.73%。</w:t>
      </w:r>
    </w:p>
    <w:p>
      <w:pPr>
        <w:spacing w:line="580" w:lineRule="exact"/>
        <w:ind w:firstLine="640"/>
        <w:jc w:val="both"/>
      </w:pPr>
      <w:r>
        <w:rPr>
          <w:rFonts w:ascii="仿宋_GB2312" w:hAnsi="仿宋_GB2312" w:eastAsia="仿宋_GB2312"/>
          <w:b w:val="0"/>
          <w:sz w:val="32"/>
        </w:rPr>
        <w:t>2.社会保障和就业支出(类)4.86万元,占10.10%。</w:t>
      </w:r>
    </w:p>
    <w:p>
      <w:pPr>
        <w:spacing w:line="580" w:lineRule="exact"/>
        <w:ind w:firstLine="640"/>
        <w:jc w:val="both"/>
      </w:pPr>
      <w:r>
        <w:rPr>
          <w:rFonts w:ascii="仿宋_GB2312" w:hAnsi="仿宋_GB2312" w:eastAsia="仿宋_GB2312"/>
          <w:b w:val="0"/>
          <w:sz w:val="32"/>
        </w:rPr>
        <w:t>3.卫生健康支出(类)2.03万元,占4.22%。</w:t>
      </w:r>
    </w:p>
    <w:p>
      <w:pPr>
        <w:spacing w:line="580" w:lineRule="exact"/>
        <w:ind w:firstLine="640"/>
        <w:jc w:val="both"/>
      </w:pPr>
      <w:r>
        <w:rPr>
          <w:rFonts w:ascii="仿宋_GB2312" w:hAnsi="仿宋_GB2312" w:eastAsia="仿宋_GB2312"/>
          <w:b w:val="0"/>
          <w:sz w:val="32"/>
        </w:rPr>
        <w:t>4.住房保障支出(类)3.81万元,占7.92%。</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37.39万元，比上年决算增加6.27万元，增长20.15%,主要原因是：本年在职人员工资调增，社保、公积金基数调增，人员经费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4.86万元，比上年决算增加1.08万元，增长28.57%,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6.32万元，下降100.00%,主要原因是：本年新增退休人员较上年减少，职业年金缴费较上年减少。</w:t>
      </w:r>
    </w:p>
    <w:p>
      <w:pPr>
        <w:spacing w:line="580" w:lineRule="exact"/>
        <w:ind w:firstLine="640"/>
        <w:jc w:val="both"/>
      </w:pPr>
      <w:r>
        <w:rPr>
          <w:rFonts w:ascii="仿宋_GB2312" w:hAnsi="仿宋_GB2312" w:eastAsia="仿宋_GB2312"/>
          <w:b w:val="0"/>
          <w:sz w:val="32"/>
        </w:rPr>
        <w:t>4.卫生健康支出(类)行政事业单位医疗(款)行政单位医疗(项):支出决算数为1.45万元，比上年决算减少0.61万元，下降29.61%,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0.55万元，比上年决算增加0.55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6.卫生健康支出(类)行政事业单位医疗(款)公务员医疗补助(项):支出决算数为0.00万元，比上年决算减少0.05万元，下降100.00%,主要原因是：本年行政人员退休，未安排公务员医疗支出。</w:t>
      </w:r>
    </w:p>
    <w:p>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0.04万元，比上年决算增加0.01万元，增长33.33%,主要原因是：本年在职人员工资基数调增，事业单位医疗支出基数上涨，相应支出增加。</w:t>
      </w:r>
    </w:p>
    <w:p>
      <w:pPr>
        <w:spacing w:line="580" w:lineRule="exact"/>
        <w:ind w:firstLine="640"/>
        <w:jc w:val="both"/>
      </w:pPr>
      <w:r>
        <w:rPr>
          <w:rFonts w:ascii="仿宋_GB2312" w:hAnsi="仿宋_GB2312" w:eastAsia="仿宋_GB2312"/>
          <w:b w:val="0"/>
          <w:sz w:val="32"/>
        </w:rPr>
        <w:t>8.住房保障支出(类)住房改革支出(款)住房公积金(项):支出决算数为3.81万元，比上年决算增加0.83万元，增长27.85%,主要原因是：本年在职人员工资基数调增，公积金缴费基数上涨，相应支出增加。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2024年度一般公共预算财政拨款基本支出48.10万元，其中：</w:t>
      </w:r>
      <w:r>
        <w:rPr>
          <w:rFonts w:ascii="仿宋_GB2312" w:hAnsi="仿宋_GB2312" w:eastAsia="仿宋_GB2312"/>
          <w:b/>
          <w:sz w:val="32"/>
        </w:rPr>
        <w:t>人员经费47.29万元，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w:t>
      </w:r>
    </w:p>
    <w:p>
      <w:pPr>
        <w:spacing w:line="580" w:lineRule="exact"/>
        <w:ind w:firstLine="640"/>
        <w:jc w:val="both"/>
      </w:pPr>
      <w:r>
        <w:rPr>
          <w:rFonts w:ascii="仿宋_GB2312" w:hAnsi="仿宋_GB2312" w:eastAsia="仿宋_GB2312"/>
          <w:b/>
          <w:sz w:val="32"/>
        </w:rPr>
        <w:t>公用经费0.81万元，</w:t>
      </w:r>
      <w:r>
        <w:rPr>
          <w:rFonts w:ascii="仿宋_GB2312" w:hAnsi="仿宋_GB2312" w:eastAsia="仿宋_GB2312"/>
          <w:b w:val="0"/>
          <w:sz w:val="32"/>
        </w:rPr>
        <w:t>包括：办公费、邮电费、差旅费、工会经费、福利费。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2024年度特克斯县政府采购中心（事业单位）公用经费支出0.81万元，比上年减少0.38万元，下降31.93%，主要原因是：严控经费支出，厉行节约，减少经费支出。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51.10万元，实际执行总额51.10万元；预算绩效评价项目1个，全年预算数3.00万元，全年执行数3.00万元。预算绩效管理取得的成效：组织政府采购活动、负责组织实施本度集中采购目录以内或限额标准以上通用项目的政府采购、办理政府采购监督管理部门交办的其他采购项目；发布政府采购信息，在政府采购监督管理部门指定媒体发布政府采购公告、中标（成交）公告等有关采购信息；编制采购文件、制定评标原则和评分标准等；向同级政府采购监督管理机构报送有关采购项目的采购公告、采购文件、评标办法、评标报告等管理政府采购项目文件档案按照《政府采购法》的有关规定负责“评标委员会”“谈判小组”“询价小组”的组建工作；受理和答复供应商的询问或者质疑；管理采购人员负责机构内部工作人员的教育和培训、科学设置内部机构、制定内部工作管理办法；负责政采云平台供应商入驻，审核上传商品。接受同级政府采购监督管理机构的业务考核和监督检查；完成县委、政府交办的其它工作,保障部门单位人员发放工资福利支出及正常运转支出。。发现的问题及原因：一是绩效指标设置不够明确。我单位部分绩效指标设置存在不够精简、指标数据无法统计和指标值设置过低等问题，部分项目绩效指标值设定为定性的指标，指标设置的科学性、合理性有待进一步提高；二是项目监督工作存在薄弱环节。项目实施过程中的上报、跟踪、反馈机制尚未真正形成，资金的使用、实施等监管措施仍然存在改进的空间。下一步改进措施：一是组织政府采购活动、负责组织实施、办理政府采购监督管理部门交办的采购项目；二是发布政府采购信息，在政府采购监督管理部门指定媒体发布政府采购公告、中标（成交）公告等有关采购信息；三是编制采购文件、制定评标原则和评分标准等；五是向同级政府采购监督管理机构报送有关采购项目的采购公告、采购文件、评标办法、评标报告等；四是受理和答复供应商的询问或者质疑；五是负责机构内部工作人员的教育和培训、科学设置内部机构、制定内部工作管理办法；六是负责政采云平台供应商入驻，审核上传商品。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特克斯县政府采购中心</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83.71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83.71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51.10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51.10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33.71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33.71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组织政府采购活动、负责组织实施本度集中采购目录以内或限额标准以上通用项目的政府采购、办理政府采购监督管理部门交办的其他采购项目；发布政府采购信息，在政府采购监督管理部门指定媒体发布政府采购公告、中标（成交）公告等有关采购信息；编制采购文件、制定评标原则和评分标准等；向同级政府采购监督管理机构报送有关采购项目的采购公告、采购文件、评标办法、评标报告等管理政府采购项目文件档案按照《政府采购法》的有关规定负责“评标委员会”“谈判小组”“询价小组”的组建工作；受理和答复供应商的询问或者质疑；管理采购人员负责机构内部工作人员的教育和培训、科学设置内部机构、制定内部工作管理办法；负责政采云平台供应商入驻，审核上传商品。接受同级政府采购监督管理机构的业务考核和监督检查；完成县委、政府交办的其它工作,保障部门单位人员发放工资福利支出及正常运转支出。</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1、完成政采云商家入驻60个,通过完成政采云入驻供应商工作，有效提升政府集中采购效率，达到节约财政资金的效果。2、组织线下招标采购7次,通过完成组织线下招标采购工作，有效提升招标采购效率，达到打开销售渠道的效果。3、完成线上采购订单5000笔,通过完成线上采购订单审核工作，有效提升商户商品上架效率。</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政采云入驻供应商</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60个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特机编字【2017】30号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60个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组织线下招标采购</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特机编字【2017】30号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采购线上订单完成数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5000笔</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特机编字【2017】30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5000笔</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政府采购保证金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特克斯县政府采购中心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特克斯县政府采购中心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根据《中华人民共和国政府采购法实施条例 》规定，每年按时在政采云系统里发放退还保证金公告，退还保证金。</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通过规范保证金管理，降低采购风险，提升资金使用效率。</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退保证金供应商个数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保证金保障率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保证金费支付及时率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保证金资金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推动各项工作有序、顺利进行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有效推动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干部职工满意度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下年度从严从高设置指标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用供应商满意度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下年度从严从高设置指标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本单位2024年度无政府采购支出，授予中小企业合同金额0.00万元。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