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特克斯县审计局2024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主管全县审计工作。负责对全县财政收支和法律法规规定属于审计监督范围的财务收支的真实、合法和效益进行审计监督，对公共资金、国有资产、国有资源和领导干部履行经济责任情况实行审计全覆盖，对领导干部实行自然资源资产离任审计，对国家有关重大政策措施贯彻落实情况进行跟踪审计。对审计、专项审计调查和核查社会审计机构相关审计报告的结果承担责任，并负有督促被审计单位整改的责任。</w:t>
      </w:r>
    </w:p>
    <w:p>
      <w:pPr>
        <w:spacing w:line="580" w:lineRule="exact"/>
        <w:ind w:firstLine="640"/>
        <w:jc w:val="both"/>
      </w:pPr>
      <w:r>
        <w:rPr>
          <w:rFonts w:ascii="仿宋_GB2312" w:hAnsi="仿宋_GB2312" w:eastAsia="仿宋_GB2312"/>
          <w:sz w:val="32"/>
        </w:rPr>
        <w:t>（二）贯彻执行国家、自治区、自治州有关审计法律法规和方针政策、制定并组织实施审计工作发展规划、专业领域审计工作规划和年度审计计划、调查和核查的事项依法进行审计评价做出审计决定或提出审计建议。</w:t>
      </w:r>
    </w:p>
    <w:p>
      <w:pPr>
        <w:spacing w:line="580" w:lineRule="exact"/>
        <w:ind w:firstLine="640"/>
        <w:jc w:val="both"/>
      </w:pPr>
      <w:r>
        <w:rPr>
          <w:rFonts w:ascii="仿宋_GB2312" w:hAnsi="仿宋_GB2312" w:eastAsia="仿宋_GB2312"/>
          <w:sz w:val="32"/>
        </w:rPr>
        <w:t>（三）向特克斯县委审计委员会提出年度特克斯县预算执行和其他财政支出情况审计报告。向特克斯县人民政府提出年度特克斯县预算执行和其他财政收支情况的审计结果报告。受特克斯县人民政府委托向特克斯县人大常委会提出特克斯县本级预算执行和其他财政收支情况的审计工作报告、审计查出问题整改情况报告。向特克斯县县委、特克斯县人民政府报告对其他事项的审计和专项审计调查情况及结果。依法向社会公布审计结果。向特克斯县有关部门通报审计情况和审计结果。</w:t>
      </w:r>
    </w:p>
    <w:p>
      <w:pPr>
        <w:spacing w:line="580" w:lineRule="exact"/>
        <w:ind w:firstLine="640"/>
        <w:jc w:val="both"/>
      </w:pPr>
      <w:r>
        <w:rPr>
          <w:rFonts w:ascii="仿宋_GB2312" w:hAnsi="仿宋_GB2312" w:eastAsia="仿宋_GB2312"/>
          <w:sz w:val="32"/>
        </w:rPr>
        <w:t>（四）直接审计下列事项，出具审计报告，在法定职权范国内作出审计决定，包括国家有关重大政策措施贯彻落实情况；特克斯县本级预算执行情况和其他财政收支，特克斯县本级各部门（含直属单位）预算的执行情况、决算草案和其他财政收支，特克斯县本级财政转移支付资金；使用特克斯县财政资金的事业单位和社会团体的财务收支；特克斯县投资和以特克斯县投资为主的建设项目的预算执行情况和决算；特克斯县重大公共工程项目的资金管理使用和建设运营情况；自然资源管理、污染防治和生态保护与修复情况；特克斯县国有企业和金融机构、特克斯县人民政府规定的特克斯县国有资本占控股或占主导地位的企业和金融机构境内外资产、负债和损益；有关社会保障基金、社会捐赠资金及他基金、资金的财务收支；法律法规规定的其他事项。</w:t>
      </w:r>
    </w:p>
    <w:p>
      <w:pPr>
        <w:spacing w:line="580" w:lineRule="exact"/>
        <w:ind w:firstLine="640"/>
        <w:jc w:val="both"/>
      </w:pPr>
      <w:r>
        <w:rPr>
          <w:rFonts w:ascii="仿宋_GB2312" w:hAnsi="仿宋_GB2312" w:eastAsia="仿宋_GB2312"/>
          <w:sz w:val="32"/>
        </w:rPr>
        <w:t>（五）按规定对属于本级审计机关审计监督对象的党政主要领导干部及其他单位主要负责人实施经济责任审计和自然资源资产离任审计。</w:t>
      </w:r>
    </w:p>
    <w:p>
      <w:pPr>
        <w:spacing w:line="580" w:lineRule="exact"/>
        <w:ind w:firstLine="640"/>
        <w:jc w:val="both"/>
      </w:pPr>
      <w:r>
        <w:rPr>
          <w:rFonts w:ascii="仿宋_GB2312" w:hAnsi="仿宋_GB2312" w:eastAsia="仿宋_GB2312"/>
          <w:sz w:val="32"/>
        </w:rPr>
        <w:t>（六）完成特克斯县委、特克斯县人民政府交办的其他任务。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特克斯县审计局2024年度，实有人数23人，其中：在职人员14人，减少1人；离休人员0人，增加0人；退休人员9人,减少2人。</w:t>
      </w:r>
    </w:p>
    <w:p>
      <w:pPr>
        <w:spacing w:line="580" w:lineRule="exact"/>
        <w:ind w:firstLine="640"/>
        <w:jc w:val="both"/>
      </w:pPr>
      <w:r>
        <w:rPr>
          <w:rFonts w:ascii="仿宋_GB2312" w:hAnsi="仿宋_GB2312" w:eastAsia="仿宋_GB2312"/>
          <w:sz w:val="32"/>
        </w:rPr>
        <w:t>单位无下属预算单位，下设2个科室，分别是：综合科、审计业务科。。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2024年度收入总计293.89万元，</w:t>
      </w:r>
      <w:r>
        <w:rPr>
          <w:rFonts w:ascii="仿宋_GB2312" w:hAnsi="仿宋_GB2312" w:eastAsia="仿宋_GB2312"/>
          <w:b w:val="0"/>
          <w:sz w:val="32"/>
        </w:rPr>
        <w:t>其中：本年收入合计293.89万元，使用非财政拨款结余（含专用结余）0.00万元，年初结转和结余0.00万元。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2024年度支出总计293.89万元，</w:t>
      </w:r>
      <w:r>
        <w:rPr>
          <w:rFonts w:ascii="仿宋_GB2312" w:hAnsi="仿宋_GB2312" w:eastAsia="仿宋_GB2312"/>
          <w:b w:val="0"/>
          <w:sz w:val="32"/>
        </w:rPr>
        <w:t>其中：本年支出合计293.89万元，结余分配0.00万元，年末结转和结余0.00万元。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增加0.25万元，增长0.09%，主要原因是：本年在职人员工资调增，社保、公积金基数调增，人员经费增加。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本年收入293.89万元，</w:t>
      </w:r>
      <w:r>
        <w:rPr>
          <w:rFonts w:ascii="仿宋_GB2312" w:hAnsi="仿宋_GB2312" w:eastAsia="仿宋_GB2312"/>
          <w:b w:val="0"/>
          <w:sz w:val="32"/>
        </w:rPr>
        <w:t>其中：财政拨款收入272.87万元，占92.85%；上级补助收入0.00万元，占0.00%；事业收入0.00万元，占0.00%；经营收入0.00万元，占0.00%；附属单位上缴收入0.00万元，占0.00%；其他收入21.02万元，占7.15%。</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本年支出293.89万元，</w:t>
      </w:r>
      <w:r>
        <w:rPr>
          <w:rFonts w:ascii="仿宋_GB2312" w:hAnsi="仿宋_GB2312" w:eastAsia="仿宋_GB2312"/>
          <w:b w:val="0"/>
          <w:sz w:val="32"/>
        </w:rPr>
        <w:t>其中：基本支出293.89万元，占100.00%；项目支出0.00万元，占0.00%；上缴上级支出0.00万元，占0.00%；经营支出0.00万元，占0.00%；对附属单位补助支出0.00万元，占0.00%。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2024年度财政拨款收入总计272.87万元，</w:t>
      </w:r>
      <w:r>
        <w:rPr>
          <w:rFonts w:ascii="仿宋_GB2312" w:hAnsi="仿宋_GB2312" w:eastAsia="仿宋_GB2312"/>
          <w:b w:val="0"/>
          <w:sz w:val="32"/>
        </w:rPr>
        <w:t>其中：年初财政拨款结转和结余0.00万元，本年财政拨款收入272.87万元。</w:t>
      </w:r>
      <w:r>
        <w:rPr>
          <w:rFonts w:ascii="仿宋_GB2312" w:hAnsi="仿宋_GB2312" w:eastAsia="仿宋_GB2312"/>
          <w:b/>
          <w:sz w:val="32"/>
        </w:rPr>
        <w:t>财政拨款支出总计272.87万元，</w:t>
      </w:r>
      <w:r>
        <w:rPr>
          <w:rFonts w:ascii="仿宋_GB2312" w:hAnsi="仿宋_GB2312" w:eastAsia="仿宋_GB2312"/>
          <w:b w:val="0"/>
          <w:sz w:val="32"/>
        </w:rPr>
        <w:t>其中：年末财政拨款结转和结余0.00万元，本年财政拨款支出272.87万元。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增加0.04万元，增长0.01%，主要原因是：本年在职人员工资调增，社保、公积金基数调增，人员经费增加。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年初预算数270.84万元，决算数272.87万元，预决算差异率0.75%，主要原因是：年中追加人员工资、社保、公积金基数调增部分资金，导致预决算存在差异。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2024年度一般公共预算财政拨款支出272.87万元，</w:t>
      </w:r>
      <w:r>
        <w:rPr>
          <w:rFonts w:ascii="仿宋_GB2312" w:hAnsi="仿宋_GB2312" w:eastAsia="仿宋_GB2312"/>
          <w:b w:val="0"/>
          <w:sz w:val="32"/>
        </w:rPr>
        <w:t>占本年支出合计的92.85%。</w:t>
      </w:r>
      <w:r>
        <w:rPr>
          <w:rFonts w:ascii="仿宋_GB2312" w:hAnsi="仿宋_GB2312" w:eastAsia="仿宋_GB2312"/>
          <w:b/>
          <w:sz w:val="32"/>
        </w:rPr>
        <w:t>与上年相比，</w:t>
      </w:r>
      <w:r>
        <w:rPr>
          <w:rFonts w:ascii="仿宋_GB2312" w:hAnsi="仿宋_GB2312" w:eastAsia="仿宋_GB2312"/>
          <w:b w:val="0"/>
          <w:sz w:val="32"/>
        </w:rPr>
        <w:t>增加0.04万元，增长0.01%，主要原因是：本年在职人员工资调增，社保、公积金基数调增，人员经费增加。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年初预算数270.84万元，决算数272.87万元，预决算差异率0.75%，主要原因是：年中追加人员工资、社保、公积金基数调增部分资金，导致预决算存在差异。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1.一般公共服务支出(类)179.07万元,占65.62%。</w:t>
      </w:r>
    </w:p>
    <w:p>
      <w:pPr>
        <w:spacing w:line="580" w:lineRule="exact"/>
        <w:ind w:firstLine="640"/>
        <w:jc w:val="both"/>
      </w:pPr>
      <w:r>
        <w:rPr>
          <w:rFonts w:ascii="仿宋_GB2312" w:hAnsi="仿宋_GB2312" w:eastAsia="仿宋_GB2312"/>
          <w:b w:val="0"/>
          <w:sz w:val="32"/>
        </w:rPr>
        <w:t>2.社会保障和就业支出(类)66.08万元,占24.22%。</w:t>
      </w:r>
    </w:p>
    <w:p>
      <w:pPr>
        <w:spacing w:line="580" w:lineRule="exact"/>
        <w:ind w:firstLine="640"/>
        <w:jc w:val="both"/>
      </w:pPr>
      <w:r>
        <w:rPr>
          <w:rFonts w:ascii="仿宋_GB2312" w:hAnsi="仿宋_GB2312" w:eastAsia="仿宋_GB2312"/>
          <w:b w:val="0"/>
          <w:sz w:val="32"/>
        </w:rPr>
        <w:t>3.卫生健康支出(类)9.76万元,占3.58%。</w:t>
      </w:r>
    </w:p>
    <w:p>
      <w:pPr>
        <w:spacing w:line="580" w:lineRule="exact"/>
        <w:ind w:firstLine="640"/>
        <w:jc w:val="both"/>
      </w:pPr>
      <w:r>
        <w:rPr>
          <w:rFonts w:ascii="仿宋_GB2312" w:hAnsi="仿宋_GB2312" w:eastAsia="仿宋_GB2312"/>
          <w:b w:val="0"/>
          <w:sz w:val="32"/>
        </w:rPr>
        <w:t>4.住房保障支出(类)17.97万元,占6.59%。</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1.一般公共服务支出(类)审计事务(款)行政运行(项):支出决算数为179.07万元，比上年决算减少0.50万元，下降0.28%,主要原因是：本年在职人员减少，相应人员经费较上年减少。</w:t>
      </w:r>
    </w:p>
    <w:p>
      <w:pPr>
        <w:spacing w:line="580" w:lineRule="exact"/>
        <w:ind w:firstLine="640"/>
        <w:jc w:val="both"/>
      </w:pPr>
      <w:r>
        <w:rPr>
          <w:rFonts w:ascii="仿宋_GB2312" w:hAnsi="仿宋_GB2312" w:eastAsia="仿宋_GB2312"/>
          <w:b w:val="0"/>
          <w:sz w:val="32"/>
        </w:rPr>
        <w:t>2.一般公共服务支出(类)审计事务(款)审计业务(项):支出决算数为0.00万元，比上年决算减少30.00万元，下降100.00%,主要原因是：本年度未安排项目审核结算费。</w:t>
      </w:r>
    </w:p>
    <w:p>
      <w:pPr>
        <w:spacing w:line="580" w:lineRule="exact"/>
        <w:ind w:firstLine="640"/>
        <w:jc w:val="both"/>
      </w:pPr>
      <w:r>
        <w:rPr>
          <w:rFonts w:ascii="仿宋_GB2312" w:hAnsi="仿宋_GB2312" w:eastAsia="仿宋_GB2312"/>
          <w:b w:val="0"/>
          <w:sz w:val="32"/>
        </w:rPr>
        <w:t>3.一般公共服务支出(类)审计事务(款)信息化建设(项):支出决算数为0.00万元，比上年决算减少7.00万元，下降100.00%,主要原因是：上年安排审计事务信息化建设资金，本年未安排该项资金。</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23.00万元，比上年决算增加1.72万元，增长8.08%,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5.45万元，比上年决算减少0.96万元，下降14.98%,主要原因是：本年退休人员较上年减少，在职人员离世1人，职业年金缴费较上年减少。</w:t>
      </w:r>
    </w:p>
    <w:p>
      <w:pPr>
        <w:spacing w:line="580" w:lineRule="exact"/>
        <w:ind w:firstLine="640"/>
        <w:jc w:val="both"/>
      </w:pPr>
      <w:r>
        <w:rPr>
          <w:rFonts w:ascii="仿宋_GB2312" w:hAnsi="仿宋_GB2312" w:eastAsia="仿宋_GB2312"/>
          <w:b w:val="0"/>
          <w:sz w:val="32"/>
        </w:rPr>
        <w:t>6.社会保障和就业支出(类)抚恤(款)死亡抚恤(项):支出决算数为37.63万元，比上年决算增加36.48万元，增长3,172.17%,主要原因是：本年新增死亡人员，死亡抚恤支出增加。</w:t>
      </w:r>
    </w:p>
    <w:p>
      <w:pPr>
        <w:spacing w:line="580" w:lineRule="exact"/>
        <w:ind w:firstLine="640"/>
        <w:jc w:val="both"/>
      </w:pPr>
      <w:r>
        <w:rPr>
          <w:rFonts w:ascii="仿宋_GB2312" w:hAnsi="仿宋_GB2312" w:eastAsia="仿宋_GB2312"/>
          <w:b w:val="0"/>
          <w:sz w:val="32"/>
        </w:rPr>
        <w:t>7.卫生健康支出(类)行政事业单位医疗(款)行政单位医疗(项):支出决算数为9.40万元，比上年决算减少0.66万元，下降6.56%,主要原因是：本年在职人员减少，行政单位医疗支出较上年减少。</w:t>
      </w:r>
    </w:p>
    <w:p>
      <w:pPr>
        <w:spacing w:line="580" w:lineRule="exact"/>
        <w:ind w:firstLine="640"/>
        <w:jc w:val="both"/>
      </w:pPr>
      <w:r>
        <w:rPr>
          <w:rFonts w:ascii="仿宋_GB2312" w:hAnsi="仿宋_GB2312" w:eastAsia="仿宋_GB2312"/>
          <w:b w:val="0"/>
          <w:sz w:val="32"/>
        </w:rPr>
        <w:t>8.卫生健康支出(类)行政事业单位医疗(款)公务员医疗补助(项):支出决算数为0.18万元，比上年决算减少0.05万元，下降21.74%,主要原因是：因退休人员医疗保险制度改革，退休人员基本医疗不再由单位缴纳，导致经费较上年减少。</w:t>
      </w:r>
    </w:p>
    <w:p>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0.17万元，比上年决算减少0.13万元，下降43.33%,主要原因是：因退休人员医疗保险制度改革，退休人员基本医疗不再由单位缴纳，导致经费较上年减少。</w:t>
      </w:r>
    </w:p>
    <w:p>
      <w:pPr>
        <w:spacing w:line="580" w:lineRule="exact"/>
        <w:ind w:firstLine="640"/>
        <w:jc w:val="both"/>
      </w:pPr>
      <w:r>
        <w:rPr>
          <w:rFonts w:ascii="仿宋_GB2312" w:hAnsi="仿宋_GB2312" w:eastAsia="仿宋_GB2312"/>
          <w:b w:val="0"/>
          <w:sz w:val="32"/>
        </w:rPr>
        <w:t>10.住房保障支出(类)住房改革支出(款)住房公积金(项):支出决算数为17.97万元，比上年决算增加1.15万元，增长6.84%,主要原因是：本年在职人员工资基数调增，公积金缴费基数上涨，相应支出增加。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2024年度一般公共预算财政拨款基本支出272.87万元，其中：</w:t>
      </w:r>
      <w:r>
        <w:rPr>
          <w:rFonts w:ascii="仿宋_GB2312" w:hAnsi="仿宋_GB2312" w:eastAsia="仿宋_GB2312"/>
          <w:b/>
          <w:sz w:val="32"/>
        </w:rPr>
        <w:t>人员经费269.27万元，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pPr>
        <w:spacing w:line="580" w:lineRule="exact"/>
        <w:ind w:firstLine="640"/>
        <w:jc w:val="both"/>
      </w:pPr>
      <w:r>
        <w:rPr>
          <w:rFonts w:ascii="仿宋_GB2312" w:hAnsi="仿宋_GB2312" w:eastAsia="仿宋_GB2312"/>
          <w:b/>
          <w:sz w:val="32"/>
        </w:rPr>
        <w:t>公用经费3.61万元，</w:t>
      </w:r>
      <w:r>
        <w:rPr>
          <w:rFonts w:ascii="仿宋_GB2312" w:hAnsi="仿宋_GB2312" w:eastAsia="仿宋_GB2312"/>
          <w:b w:val="0"/>
          <w:sz w:val="32"/>
        </w:rPr>
        <w:t>包括：办公费、邮电费、差旅费、工会经费、公务用车运行维护费。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2024年度财政拨款“三公”经费支出0.40万元，</w:t>
      </w:r>
      <w:r>
        <w:rPr>
          <w:rFonts w:ascii="仿宋_GB2312" w:hAnsi="仿宋_GB2312" w:eastAsia="仿宋_GB2312"/>
          <w:b w:val="0"/>
          <w:sz w:val="32"/>
        </w:rPr>
        <w:t>比上年减少0.25万元，下降38.46%，主要原因是：严格落实中央八项规定精神，厉行节约，减少公务用车运行维护费。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公务用车购置及运行维护费支出0.40万元，占100.00%，比上年减少0.25万元，下降38.46%，主要原因是：严格落实中央八项规定精神，厉行节约，减少公务用车运行维护费。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0.40万元，其中：公务用车购置费0.00万元，公务用车运行维护费0.40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0.40万元，决算数0.40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0.40万元，决算数0.40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2024年度特克斯县审计局（行政单位和参照公务员法管理事业单位）机关运行经费支出3.61万元，比上年减少36.64万元，下降91.03%，主要原因是：本年减少审计业务费和信息化建设经费，导致公用经费减少。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2024年度政府采购支出总额6.73万元，其中：政府采购货物支出2.02万元、政府采购工程支出0.00万元、政府采购服务支出4.71万元。</w:t>
      </w:r>
    </w:p>
    <w:p>
      <w:pPr>
        <w:spacing w:line="580" w:lineRule="exact"/>
        <w:ind w:firstLine="640"/>
        <w:jc w:val="both"/>
      </w:pPr>
      <w:r>
        <w:rPr>
          <w:rFonts w:ascii="仿宋_GB2312" w:hAnsi="仿宋_GB2312" w:eastAsia="仿宋_GB2312"/>
          <w:b w:val="0"/>
          <w:sz w:val="32"/>
        </w:rPr>
        <w:t>授予中小企业合同金额5.10万元，占政府采购支出总额的75.78%，其中：授予小微企业合同金额5.10万元，占政府采购支出总额的75.78%。</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1辆，价值14.38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293.89万元，实际执行总额293.89万元；预算绩效评价项目3个，全年预算数112.83万元，全年执行数112.83万元。预算绩效管理取得的成效：全面部署大数据产业发展工作，加快建设数据强国，为实现制造强国和网络强国提供强大的产业支撑。再聚焦到审计行业，随着业务应用的不断深化，需要对某一领域的全范围的数据开展数据分析，将被审计单位的业务数据与其他行业部门的数据关联分析，对审计每年产生的审计报告进行聚类汇总分析等等。发现的问题及原因：一是由于缺乏相关绩效管理专业知识，在绩效指标申报设置时理解有误，后期在绩效自评过程中，存在偏差较大。二是因轮岗、调动、等因素使我单位绩效工作人员流动频繁，造成了工作衔接不到位的情况。下一步改进措施：一是多进行有关绩效管理工作方面的培训。积极组织第三方开展绩效管理工作培训，进一步夯实业务基础，提高我单位绩效人员水平；二是专门设定对绩效工作人员定职、定岗、定责等相关制度措施，进一步提升我单位绩效管理工作业务水平，扎实做好绩效管理工作； 三是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特克斯县审计局</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255.94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255.94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293.89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293.89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238.84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238.84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272.87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272.87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21.02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21.02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坚持以习近平新时代中国特色社会主义思想为指导，全面贯彻落实党的二十大以及中央经济工作会议精神。认真落实习近平总书记关于审计工作的重要讲话和重要指示批示精神，根据特克斯县审计委员会办公室和特克斯县审计局2024年度审计项目计划要求，围绕特克斯县委工作部署要求，完整、准确、全面贯彻新发展理念，立足“审计监督首先是经济监督”定位，聚焦财政财务收支真实合法效益审计主责主业，做好常态化“经济体检”工作，为促进特克斯县经济社会高质量发展提供审计监督保障。</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在县委县政府和上级审计机关的领导下，全局审计干部坚持以习近平新时代中国特色社会主义思想为指导，坚决贯彻落实习近平总书记对审计机关提出的“如臂使指、如影随形、如雷贯耳”的重要要求,2024年特克斯县审计局聚焦主责主业，按照州审计局要求和县委审计委员会的部署，2024年计划实施项目18个，截至目前为止，已完成审计项目14个，配合州审计局核查项目4个。其中完成县财政局等4个部门预算执行审计和县统计局等3个单位的财务收支审计工作。已完成市场监督管理局等4个单位领导干部经济责任审计。已完成乡村振兴政策落实情况专项审计及13个援疆项目审计。</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审计项目数量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2024年州级审计方案</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提交各类审计报告和信息简报数量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2024年州级审计方案</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审计问题整改率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2024年州级审计方案</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被审计单位对审计建议采纳比例</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2024年州级审计方案</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州局拨付审计工作经费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特克斯县审计局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特克斯县审计局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坚持以习近平新时代中国特色社会主义思想为指导，全面贯彻党的二十大、二十届二中全会和中央经济工作会议精神，坚持稳中求进工作总基调，以进促稳、先立后破，完整、准确、全面把握贯彻新发展理念、构建新发展格局、推动高质量发展对审计工作提出的新要求新任务。根据自治州党委审计委员会办公室和伊犁州审计局2024年度审计项目计划安排，围绕特克斯县委工作部署要求，完整、准确、全面贯彻新发展理念，立足“审计监督首先是经济监督”定位，聚焦财政财务收支真实合法效益审计主责主业，做好常态化“经济体检”工作，为促进特克斯县经济社会高质量发展提供审计监督保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在县委县政府和上级审计机关的领导下，全局审计干部坚持以习近平新时代中国特色社会主义思想为指导，坚决贯彻落实习近平总书记对审计机关提出的“如臂使指、如影随形、如雷贯耳”的重要要求，紧紧围绕党中央决策部署和自治区、自治州、县委工作要求，持续强化党对审计工作的领导，依法全面履行审计监督职责，认真组织实施审计项目，扎实推动审计整改，审计成果运用更加权威高效.聚焦职责定位，以审计监督推进特克斯县经济高质量发展。2024年特克斯县审计局聚焦主责主业，按照州审计局要求和县委审计委员会的部署，2024年计划实施项目18个，截至目前为止，已完成审计项目14个，配合州审计局核查项目4个。其中完成县财政局等4个部门预算执行审计和县统计局等3个单位的财务收支审计工作。已完成市场监督管理局等4个单位领导干部经济责任审计。已完成乡村振兴政策落实情况专项审计及援疆项目审计。</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保障单位个数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审计工作经费保障率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经费拨付及时率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完成本年度审计项目时间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推动审计各项工作有序、顺利进行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被审计单位根据审计建议建立健全规章制度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被审计单位满意度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因调查问卷涉及内容、问题数量较少、问卷设计、问题表述较简单选项设置不科学，被调查者数量少反馈信息不完整，在数据分析阶段，可能会出现对数据的不理解，数据分析方法不恰当导致产生偏差；整改措施：优化调查问卷的设计，合理测增加问题数量及内容，提高被调查者的参与度，提高数据收集的准确性，建立反馈机制。确保调查结果能够及时有效的处理，同时加强与被调查者的沟通，了解需求和期望，从而更好地改进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援疆审计工作经费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特克斯县审计局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特克斯县审计局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以习近平新时代中国特色社会主义思想为指导，全面贯彻落实第三次中央新疆工作座谈会和第八次全国对口支援新疆工作会议精神，深入学习贯彻习近平总书记视察新疆重要讲话重要指示精神，完整准确全面贯彻新时代党的治疆方略，紧紧围绕新疆社会稳定和长治久安工作总目标，以民生援疆、智力援疆、产业援疆、就业援疆和文化润疆等领域为重点，聚焦主责主业，持续强化审计监督，依法全面履行职责，进一步提升对口援疆综合效益，确保党的惠疆爱民政策落地见效，助力建设团结和谐、繁荣富裕、文明进步、安居乐业、生态良好的新时代中国特色社会主义新疆。</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在县委县政府和上级审计机关的领导下，全局审计干部坚持以习近平新时代中国特色社会主义思想为指导，坚决贯彻落实习近平总书记对审计机关提出的“如臂使指、如影随形、如雷贯耳”的重要要求，紧紧围绕党中央决策部署和自治区、自治州、县委工作要求，持续强化党对审计工作的领导，依法全面履行审计监督职责，认真组织实施审计项目，扎实推动审计整改，审计成果运用更加权威高效。2024年特克斯县审计局聚焦主责主业，按照州审计局要求和县委审计委员会的部署，2024年计划实施项目18个，截至目前为止，已完成审计项目14个，配合州审计局核查项目4个。其中完成县财政局等4个部门预算执行审计和县统计局等3个单位的财务收支审计工作。已完成市场监督管理局等4个单位领导干部经济责任审计。已完成乡村振兴政策落实情况专项审计及援疆项目审计。</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审计项目个数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审计工作经费保障率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经费拨付及时率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完成本年度援疆审计项目所需要的经费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推动援疆各项工作有序、顺利进行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被审计单位根据审计建议建立健全规章制度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被审计单位满意度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因调查问卷涉及内容、问题数量较少、问卷设计、问题表述较简单选项设置不科学，被调查者数量少反馈信息不完整，在数据分析阶段，可能会出现对数据的不理解，数据分析方法不恰当导致产生偏差；整改措施：优化调查问卷的设计，合理测增加问题数量及内容，提高被调查者的参与度，提高数据收集的准确性，建立反馈机制。确保调查结果能够及时有效的处理，同时加强与被调查者的沟通，了解需求和期望，从而更好地改进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项目结算审计费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特克斯县审计局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特克斯县审计局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100.73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100.73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100.73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100.73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100.73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100.73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对项目成果进行审查，使财政资金发挥更大效益</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截止2024年12月已支付完成消化暂付款三个项目费用，使财政资金发挥更大效益</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项目审核数量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依据国家相关规定完成审结算率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项目审核按时完率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项目审核结算资金支付率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人居环境项目审核结算资金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巴喀勒克水库项目审核结算资金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ZYJNJYPXZX建设项目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推动各项目审计工作有序顺利进行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