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中共特克斯县委老干部局</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0"/>
          <w:szCs w:val="30"/>
        </w:rPr>
      </w:pPr>
    </w:p>
    <w:p>
      <w:pPr>
        <w:pStyle w:val="10"/>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项目名称：老年活动经费（年初本级）</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中共特克斯县委老干部局</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eastAsia" w:ascii="Times New Roman" w:hAnsi="Times New Roman" w:eastAsia="仿宋_GB2312" w:cs="Times New Roman"/>
          <w:kern w:val="0"/>
          <w:sz w:val="32"/>
          <w:szCs w:val="32"/>
          <w:lang w:val="en-US" w:eastAsia="zh-CN"/>
        </w:rPr>
        <w:t>中共特克斯县委老干部局</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吉</w:t>
      </w:r>
      <w:r>
        <w:rPr>
          <w:rFonts w:hint="eastAsia" w:eastAsia="仿宋_GB2312" w:cs="Times New Roman"/>
          <w:kern w:val="0"/>
          <w:sz w:val="32"/>
          <w:szCs w:val="32"/>
          <w:lang w:val="en-US" w:eastAsia="zh-CN"/>
        </w:rPr>
        <w:t>·</w:t>
      </w:r>
      <w:r>
        <w:rPr>
          <w:rFonts w:hint="eastAsia" w:eastAsia="仿宋_GB2312" w:cs="Times New Roman"/>
          <w:kern w:val="0"/>
          <w:sz w:val="32"/>
          <w:szCs w:val="32"/>
          <w:lang w:eastAsia="zh-CN"/>
        </w:rPr>
        <w:t>巴沙</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16</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FangSong_GB2312" w:cs="Times New Roman"/>
          <w:sz w:val="32"/>
          <w:szCs w:val="32"/>
          <w:lang w:val="en-US" w:eastAsia="zh-CN"/>
        </w:rPr>
      </w:pPr>
      <w:r>
        <w:rPr>
          <w:rFonts w:hint="default" w:ascii="Times New Roman" w:hAnsi="Times New Roman" w:eastAsia="FangSong_GB2312" w:cs="Times New Roman"/>
          <w:sz w:val="32"/>
          <w:szCs w:val="32"/>
          <w:lang w:val="en-US" w:eastAsia="zh-CN"/>
        </w:rPr>
        <w:t>新党办发</w:t>
      </w:r>
      <w:r>
        <w:rPr>
          <w:rStyle w:val="16"/>
          <w:rFonts w:hint="default" w:ascii="Times New Roman" w:hAnsi="Times New Roman" w:eastAsia="黑体" w:cs="Times New Roman"/>
          <w:b w:val="0"/>
          <w:bCs/>
          <w:spacing w:val="-4"/>
          <w:sz w:val="32"/>
          <w:szCs w:val="32"/>
          <w:highlight w:val="none"/>
        </w:rPr>
        <w:t xml:space="preserve">【2017】47号 </w:t>
      </w:r>
      <w:r>
        <w:rPr>
          <w:rFonts w:hint="default" w:ascii="Times New Roman" w:hAnsi="Times New Roman" w:eastAsia="FangSong_GB2312" w:cs="Times New Roman"/>
          <w:sz w:val="32"/>
          <w:szCs w:val="32"/>
          <w:lang w:val="en-US" w:eastAsia="zh-CN"/>
        </w:rPr>
        <w:t>自治区党委办公厅 自治区人民政府办公厅 印发《关于进一步加强和改进离退休干部工作的实施意见》的通知等相关文件要求，离退休干部及离休干部遗孀春节慰问资金，老干部活动中心改造搬迁费，离退休干部报刊费，离退休干部党组织书记工作补贴，老干部半年经济社会发展通报会及观摩会经费，老干部全年通报会等费用，共计25.33万元。</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项目主要内容：项目主要内容</w:t>
      </w:r>
      <w:r>
        <w:rPr>
          <w:rFonts w:hint="eastAsia" w:eastAsia="仿宋_GB2312" w:cs="Times New Roman"/>
          <w:sz w:val="30"/>
          <w:szCs w:val="30"/>
          <w:highlight w:val="none"/>
          <w:lang w:val="en-US" w:eastAsia="zh-CN"/>
        </w:rPr>
        <w:t>为</w:t>
      </w:r>
      <w:r>
        <w:rPr>
          <w:rFonts w:hint="default" w:ascii="Times New Roman" w:hAnsi="Times New Roman" w:eastAsia="FangSong_GB2312" w:cs="Times New Roman"/>
          <w:sz w:val="32"/>
          <w:szCs w:val="32"/>
          <w:lang w:val="en-US" w:eastAsia="zh-CN"/>
        </w:rPr>
        <w:t>离退休干部及离休干部遗孀春节慰问资金，老干部活动中心改造搬迁费，离退休干部报刊费，离退休干部党组织书记工作补贴，老干部半年经济社会发展通报会及观摩会经费，老干部全年通报会等费用</w:t>
      </w:r>
      <w:r>
        <w:rPr>
          <w:rFonts w:hint="eastAsia" w:eastAsia="FangSong_GB2312" w:cs="Times New Roman"/>
          <w:sz w:val="32"/>
          <w:szCs w:val="32"/>
          <w:lang w:val="en-US" w:eastAsia="zh-CN"/>
        </w:rPr>
        <w:t>，</w:t>
      </w:r>
      <w:r>
        <w:rPr>
          <w:rFonts w:hint="eastAsia" w:eastAsia="FangSong_GB2312"/>
          <w:sz w:val="32"/>
          <w:szCs w:val="32"/>
          <w:lang w:val="en-US" w:eastAsia="zh-CN"/>
        </w:rPr>
        <w:t>按照新党办发【2017】47号 自治区党委办公厅自治区人民政府办公厅 印发《关于进一步加强和改进离退休干部工作的实施意见》的通知等文件要求，确保全县离退休干部生活及政治待遇。</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default" w:ascii="Times New Roman" w:hAnsi="Times New Roman" w:eastAsia="FangSong_GB2312" w:cs="Times New Roman"/>
          <w:sz w:val="32"/>
          <w:szCs w:val="32"/>
          <w:lang w:val="en-US" w:eastAsia="zh-CN"/>
        </w:rPr>
        <w:t>按照新党办发【2017】47号 自治区党委办公厅 自治区人民政府办公厅 印发《关于进一步加强和改进离退休干部工作的实施意见》的通知等相关文件要求，我单位要落实好离退休干部及离休干部遗孀春节慰问资金，老干部活动中心改造搬迁费，离退休干部报刊费，离退休干部党组织书记工作补贴，老干部半年经济社会发展通报会及观摩会经费，老干部全年通报会等费工作，全年支出共计25.3206万元。</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b w:val="0"/>
          <w:bCs w:val="0"/>
          <w:sz w:val="32"/>
          <w:szCs w:val="32"/>
          <w:highlight w:val="none"/>
          <w:lang w:val="en-US" w:eastAsia="zh-CN"/>
        </w:rPr>
        <w:t>当年财政拨款</w:t>
      </w:r>
      <w:r>
        <w:rPr>
          <w:rFonts w:hint="eastAsia"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25.33</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25.3206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99.96</w:t>
      </w:r>
      <w:r>
        <w:rPr>
          <w:rFonts w:hint="default" w:ascii="Times New Roman" w:hAnsi="Times New Roman" w:eastAsia="仿宋_GB2312" w:cs="Times New Roman"/>
          <w:sz w:val="32"/>
          <w:szCs w:val="32"/>
          <w:highlight w:val="none"/>
          <w:lang w:val="en-US" w:eastAsia="zh-CN"/>
        </w:rPr>
        <w:t>%，主要用于：</w:t>
      </w:r>
      <w:r>
        <w:rPr>
          <w:rFonts w:hint="eastAsia" w:eastAsia="FangSong_GB2312"/>
          <w:sz w:val="32"/>
          <w:szCs w:val="32"/>
          <w:lang w:val="en-US" w:eastAsia="zh-CN"/>
        </w:rPr>
        <w:t>主要用于</w:t>
      </w:r>
      <w:r>
        <w:rPr>
          <w:rFonts w:hint="default" w:ascii="Times New Roman" w:hAnsi="Times New Roman" w:eastAsia="FangSong_GB2312" w:cs="Times New Roman"/>
          <w:sz w:val="32"/>
          <w:szCs w:val="32"/>
          <w:lang w:val="en-US" w:eastAsia="zh-CN"/>
        </w:rPr>
        <w:t>离退休干部及离休干部遗孀春节慰问资金，老干部活动中心改造搬迁费，离退休干部报刊费，离退休干部党组织书记工作补贴，老干部半年经济社会发展通报会及观摩会经费，老干部全年通报会等费用</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600" w:lineRule="exact"/>
        <w:ind w:firstLine="640" w:firstLineChars="200"/>
        <w:outlineLvl w:val="0"/>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ascii="Times New Roman" w:hAnsi="Times New Roman" w:eastAsia="FangSong_GB2312" w:cs="Times New Roman"/>
          <w:sz w:val="32"/>
          <w:szCs w:val="32"/>
          <w:lang w:val="en-US" w:eastAsia="zh-CN"/>
        </w:rPr>
        <w:t>1</w:t>
      </w:r>
      <w:r>
        <w:rPr>
          <w:rFonts w:hint="eastAsia" w:eastAsia="FangSong_GB2312" w:cs="Times New Roman"/>
          <w:sz w:val="32"/>
          <w:szCs w:val="32"/>
          <w:lang w:val="en-US" w:eastAsia="zh-CN"/>
        </w:rPr>
        <w:t>、</w:t>
      </w:r>
      <w:r>
        <w:rPr>
          <w:rFonts w:hint="eastAsia" w:ascii="Times New Roman" w:hAnsi="Times New Roman" w:eastAsia="FangSong_GB2312" w:cs="Times New Roman"/>
          <w:sz w:val="32"/>
          <w:szCs w:val="32"/>
          <w:lang w:val="en-US" w:eastAsia="zh-CN"/>
        </w:rPr>
        <w:t>落实好离退休干部政治生活待遇；2</w:t>
      </w:r>
      <w:r>
        <w:rPr>
          <w:rFonts w:hint="eastAsia" w:eastAsia="FangSong_GB2312" w:cs="Times New Roman"/>
          <w:sz w:val="32"/>
          <w:szCs w:val="32"/>
          <w:lang w:val="en-US" w:eastAsia="zh-CN"/>
        </w:rPr>
        <w:t>、</w:t>
      </w:r>
      <w:r>
        <w:rPr>
          <w:rFonts w:hint="eastAsia" w:ascii="Times New Roman" w:hAnsi="Times New Roman" w:eastAsia="FangSong_GB2312" w:cs="Times New Roman"/>
          <w:sz w:val="32"/>
          <w:szCs w:val="32"/>
          <w:lang w:val="en-US" w:eastAsia="zh-CN"/>
        </w:rPr>
        <w:t>提高离退休干部生活水平；3</w:t>
      </w:r>
      <w:r>
        <w:rPr>
          <w:rFonts w:hint="eastAsia" w:eastAsia="FangSong_GB2312" w:cs="Times New Roman"/>
          <w:sz w:val="32"/>
          <w:szCs w:val="32"/>
          <w:lang w:val="en-US" w:eastAsia="zh-CN"/>
        </w:rPr>
        <w:t>、</w:t>
      </w:r>
      <w:r>
        <w:rPr>
          <w:rFonts w:hint="eastAsia" w:ascii="Times New Roman" w:hAnsi="Times New Roman" w:eastAsia="FangSong_GB2312" w:cs="Times New Roman"/>
          <w:sz w:val="32"/>
          <w:szCs w:val="32"/>
          <w:lang w:val="en-US" w:eastAsia="zh-CN"/>
        </w:rPr>
        <w:t>满足离退休干部生活需求。</w:t>
      </w:r>
      <w:r>
        <w:rPr>
          <w:rFonts w:hint="default" w:ascii="Times New Roman" w:hAnsi="Times New Roman" w:eastAsia="FangSong_GB2312" w:cs="Times New Roman"/>
          <w:sz w:val="32"/>
          <w:szCs w:val="32"/>
          <w:lang w:val="en-US" w:eastAsia="zh-CN"/>
        </w:rPr>
        <w:t>新党办发</w:t>
      </w:r>
      <w:r>
        <w:rPr>
          <w:rStyle w:val="16"/>
          <w:rFonts w:hint="default" w:ascii="Times New Roman" w:hAnsi="Times New Roman" w:eastAsia="黑体" w:cs="Times New Roman"/>
          <w:b w:val="0"/>
          <w:bCs/>
          <w:spacing w:val="-4"/>
          <w:sz w:val="32"/>
          <w:szCs w:val="32"/>
          <w:highlight w:val="none"/>
        </w:rPr>
        <w:t xml:space="preserve">【2017】47号 </w:t>
      </w:r>
      <w:r>
        <w:rPr>
          <w:rFonts w:hint="default" w:ascii="Times New Roman" w:hAnsi="Times New Roman" w:eastAsia="FangSong_GB2312" w:cs="Times New Roman"/>
          <w:sz w:val="32"/>
          <w:szCs w:val="32"/>
          <w:lang w:val="en-US" w:eastAsia="zh-CN"/>
        </w:rPr>
        <w:t>自治区党委办公厅 自治区人民政府办公厅 印发《关于进一步加强和改进离退休干部工作的实施意见》的通知等相关文件要求，离退休干部及离休干部遗孀春节慰问资金，老干部活动中心改造搬迁费，离退休干部报刊费，离退休干部党组织书记工作补贴，老干部半年经济社会发展通报会及观摩会经费，老干部全年通报会等费用，共计25.33万元。</w:t>
      </w:r>
    </w:p>
    <w:p>
      <w:pPr>
        <w:spacing w:line="560" w:lineRule="exact"/>
        <w:ind w:firstLine="640" w:firstLineChars="200"/>
        <w:rPr>
          <w:rFonts w:hint="default" w:ascii="Times New Roman" w:hAnsi="Times New Roman" w:eastAsia="FangSong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eastAsia="FangSong_GB2312" w:cs="Times New Roman"/>
          <w:sz w:val="32"/>
          <w:szCs w:val="32"/>
          <w:lang w:val="en-US" w:eastAsia="zh-CN"/>
        </w:rPr>
        <w:t>第一季度主要完成</w:t>
      </w:r>
      <w:r>
        <w:rPr>
          <w:rFonts w:hint="default" w:ascii="Times New Roman" w:hAnsi="Times New Roman" w:eastAsia="FangSong_GB2312" w:cs="Times New Roman"/>
          <w:sz w:val="32"/>
          <w:szCs w:val="32"/>
          <w:lang w:val="en-US" w:eastAsia="zh-CN"/>
        </w:rPr>
        <w:t>支付离退休干部及离休干部遗孀春节慰问资金</w:t>
      </w:r>
      <w:r>
        <w:rPr>
          <w:rFonts w:hint="eastAsia" w:eastAsia="FangSong_GB2312" w:cs="Times New Roman"/>
          <w:sz w:val="32"/>
          <w:szCs w:val="32"/>
          <w:lang w:val="en-US" w:eastAsia="zh-CN"/>
        </w:rPr>
        <w:t>、</w:t>
      </w:r>
      <w:r>
        <w:rPr>
          <w:rFonts w:hint="default" w:ascii="Times New Roman" w:hAnsi="Times New Roman" w:eastAsia="FangSong_GB2312" w:cs="Times New Roman"/>
          <w:sz w:val="32"/>
          <w:szCs w:val="32"/>
          <w:lang w:val="en-US" w:eastAsia="zh-CN"/>
        </w:rPr>
        <w:t>老干部活动中心改造搬迁费；</w:t>
      </w:r>
      <w:r>
        <w:rPr>
          <w:rFonts w:hint="eastAsia" w:eastAsia="FangSong_GB2312" w:cs="Times New Roman"/>
          <w:sz w:val="32"/>
          <w:szCs w:val="32"/>
          <w:lang w:val="en-US" w:eastAsia="zh-CN"/>
        </w:rPr>
        <w:t>第二季度完成</w:t>
      </w:r>
      <w:r>
        <w:rPr>
          <w:rFonts w:hint="default" w:ascii="Times New Roman" w:hAnsi="Times New Roman" w:eastAsia="FangSong_GB2312" w:cs="Times New Roman"/>
          <w:sz w:val="32"/>
          <w:szCs w:val="32"/>
          <w:lang w:val="en-US" w:eastAsia="zh-CN"/>
        </w:rPr>
        <w:t>离退休干部报刊费</w:t>
      </w:r>
      <w:r>
        <w:rPr>
          <w:rFonts w:hint="eastAsia" w:eastAsia="FangSong_GB2312" w:cs="Times New Roman"/>
          <w:sz w:val="32"/>
          <w:szCs w:val="32"/>
          <w:lang w:val="en-US" w:eastAsia="zh-CN"/>
        </w:rPr>
        <w:t>、</w:t>
      </w:r>
      <w:r>
        <w:rPr>
          <w:rFonts w:hint="default" w:ascii="Times New Roman" w:hAnsi="Times New Roman" w:eastAsia="FangSong_GB2312" w:cs="Times New Roman"/>
          <w:sz w:val="32"/>
          <w:szCs w:val="32"/>
          <w:lang w:val="en-US" w:eastAsia="zh-CN"/>
        </w:rPr>
        <w:t>离退休干部党组织书记工作补贴</w:t>
      </w:r>
      <w:r>
        <w:rPr>
          <w:rFonts w:hint="eastAsia" w:eastAsia="FangSong_GB2312" w:cs="Times New Roman"/>
          <w:sz w:val="32"/>
          <w:szCs w:val="32"/>
          <w:lang w:val="en-US" w:eastAsia="zh-CN"/>
        </w:rPr>
        <w:t>、</w:t>
      </w:r>
      <w:r>
        <w:rPr>
          <w:rFonts w:hint="default" w:ascii="Times New Roman" w:hAnsi="Times New Roman" w:eastAsia="FangSong_GB2312" w:cs="Times New Roman"/>
          <w:sz w:val="32"/>
          <w:szCs w:val="32"/>
          <w:lang w:val="en-US" w:eastAsia="zh-CN"/>
        </w:rPr>
        <w:t>老干部半年经济社会发展通报会及观摩会；</w:t>
      </w:r>
      <w:r>
        <w:rPr>
          <w:rFonts w:hint="eastAsia" w:eastAsia="FangSong_GB2312" w:cs="Times New Roman"/>
          <w:sz w:val="32"/>
          <w:szCs w:val="32"/>
          <w:lang w:val="en-US" w:eastAsia="zh-CN"/>
        </w:rPr>
        <w:t>第三季度完成</w:t>
      </w:r>
      <w:r>
        <w:rPr>
          <w:rFonts w:hint="default" w:ascii="Times New Roman" w:hAnsi="Times New Roman" w:eastAsia="FangSong_GB2312" w:cs="Times New Roman"/>
          <w:sz w:val="32"/>
          <w:szCs w:val="32"/>
          <w:lang w:val="en-US" w:eastAsia="zh-CN"/>
        </w:rPr>
        <w:t>老干部宣讲团专题宣讲</w:t>
      </w:r>
      <w:r>
        <w:rPr>
          <w:rFonts w:hint="eastAsia" w:eastAsia="FangSong_GB2312" w:cs="Times New Roman"/>
          <w:sz w:val="32"/>
          <w:szCs w:val="32"/>
          <w:lang w:val="en-US" w:eastAsia="zh-CN"/>
        </w:rPr>
        <w:t>；第四季度</w:t>
      </w:r>
      <w:r>
        <w:rPr>
          <w:rFonts w:hint="default" w:ascii="Times New Roman" w:hAnsi="Times New Roman" w:eastAsia="FangSong_GB2312" w:cs="Times New Roman"/>
          <w:sz w:val="32"/>
          <w:szCs w:val="32"/>
          <w:lang w:val="en-US" w:eastAsia="zh-CN"/>
        </w:rPr>
        <w:t>计划支付老干部全年通报会</w:t>
      </w:r>
      <w:r>
        <w:rPr>
          <w:rFonts w:hint="eastAsia" w:eastAsia="FangSong_GB2312" w:cs="Times New Roman"/>
          <w:sz w:val="32"/>
          <w:szCs w:val="32"/>
          <w:lang w:val="en-US"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green"/>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本项目预算绩效评价报告的评价对象是[老年活动经费（年初本级）]及其预算执行情况。该项目由[</w:t>
      </w:r>
      <w:r>
        <w:rPr>
          <w:rFonts w:hint="eastAsia" w:ascii="Times New Roman" w:hAnsi="Times New Roman" w:eastAsia="仿宋_GB2312" w:cs="Times New Roman"/>
          <w:sz w:val="32"/>
          <w:szCs w:val="32"/>
          <w:highlight w:val="none"/>
          <w:lang w:eastAsia="zh-CN"/>
        </w:rPr>
        <w:t>中共特克斯县委老干部局</w:t>
      </w:r>
      <w:r>
        <w:rPr>
          <w:rFonts w:hint="default" w:ascii="Times New Roman" w:hAnsi="Times New Roman" w:eastAsia="仿宋_GB2312" w:cs="Times New Roman"/>
          <w:sz w:val="32"/>
          <w:szCs w:val="32"/>
          <w:highlight w:val="none"/>
        </w:rPr>
        <w:t>]负责实施，旨在[</w:t>
      </w:r>
      <w:r>
        <w:rPr>
          <w:rFonts w:hint="default" w:ascii="Times New Roman" w:hAnsi="Times New Roman" w:eastAsia="仿宋_GB2312" w:cs="Times New Roman"/>
          <w:sz w:val="32"/>
          <w:szCs w:val="32"/>
          <w:highlight w:val="none"/>
          <w:lang w:val="en-US" w:eastAsia="zh-CN"/>
        </w:rPr>
        <w:t>新党办发【2017】47号 自治区党委办公厅 自治区人民政府办公厅 印发《关于进一步加强和改进离退休干部工作的实施意见》的通知等相关文件要求，离退休干部及离休干部遗孀春节慰问资金，老干部活动中心改造搬迁费，离退休干部报刊费，离退休干部党组织书记工作补贴，老干部半年经济社会发展通报会及观摩会经费，老干部全年通报会等</w:t>
      </w:r>
      <w:r>
        <w:rPr>
          <w:rFonts w:hint="eastAsia" w:eastAsia="仿宋_GB2312" w:cs="Times New Roman"/>
          <w:sz w:val="32"/>
          <w:szCs w:val="32"/>
          <w:highlight w:val="none"/>
          <w:lang w:val="en-US" w:eastAsia="zh-CN"/>
        </w:rPr>
        <w:t>工作</w:t>
      </w:r>
      <w:r>
        <w:rPr>
          <w:rFonts w:hint="default" w:ascii="Times New Roman" w:hAnsi="Times New Roman" w:eastAsia="仿宋_GB2312" w:cs="Times New Roman"/>
          <w:sz w:val="32"/>
          <w:szCs w:val="32"/>
          <w:highlight w:val="none"/>
          <w:lang w:val="en-US" w:eastAsia="zh-CN"/>
        </w:rPr>
        <w:t>]。项目预算涵盖从[</w:t>
      </w:r>
      <w:r>
        <w:rPr>
          <w:rFonts w:hint="eastAsia" w:ascii="Times New Roman" w:hAnsi="Times New Roman" w:eastAsia="仿宋_GB2312" w:cs="Times New Roman"/>
          <w:sz w:val="32"/>
          <w:szCs w:val="32"/>
          <w:highlight w:val="none"/>
          <w:lang w:val="en-US" w:eastAsia="zh-CN"/>
        </w:rPr>
        <w:t>2024年1月1日</w:t>
      </w:r>
      <w:r>
        <w:rPr>
          <w:rFonts w:hint="default" w:ascii="Times New Roman" w:hAnsi="Times New Roman" w:eastAsia="仿宋_GB2312" w:cs="Times New Roman"/>
          <w:sz w:val="32"/>
          <w:szCs w:val="32"/>
          <w:highlight w:val="none"/>
          <w:lang w:val="en-US" w:eastAsia="zh-CN"/>
        </w:rPr>
        <w:t>期]至[</w:t>
      </w:r>
      <w:r>
        <w:rPr>
          <w:rFonts w:hint="eastAsia" w:ascii="Times New Roman" w:hAnsi="Times New Roman"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lang w:val="en-US" w:eastAsia="zh-CN"/>
        </w:rPr>
        <w:t>]的全部资金投入与支出，涉及资金总额为[</w:t>
      </w:r>
      <w:r>
        <w:rPr>
          <w:rFonts w:hint="eastAsia" w:ascii="Times New Roman" w:hAnsi="Times New Roman" w:eastAsia="仿宋_GB2312" w:cs="Times New Roman"/>
          <w:sz w:val="32"/>
          <w:szCs w:val="32"/>
          <w:highlight w:val="none"/>
          <w:lang w:val="en-US" w:eastAsia="zh-CN"/>
        </w:rPr>
        <w:t>25.3206</w:t>
      </w:r>
      <w:r>
        <w:rPr>
          <w:rFonts w:hint="default" w:ascii="Times New Roman" w:hAnsi="Times New Roman" w:eastAsia="仿宋_GB2312" w:cs="Times New Roman"/>
          <w:sz w:val="32"/>
          <w:szCs w:val="32"/>
          <w:highlight w:val="none"/>
          <w:lang w:val="en-US" w:eastAsia="zh-CN"/>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2</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3</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r>
        <w:rPr>
          <w:rFonts w:eastAsia="FangSong_GB2312"/>
          <w:color w:val="000000"/>
          <w:spacing w:val="17"/>
          <w:sz w:val="32"/>
          <w:szCs w:val="32"/>
        </w:rPr>
        <w:t>确定各个指标相对于项目总体绩效的权重分值。在绩效评价指标体系中，项目决策权重为20分，项目过程权重为20分，项目产出权重为40分，项目效益权重为20分</w:t>
      </w:r>
      <w:r>
        <w:rPr>
          <w:rFonts w:hint="eastAsia"/>
          <w:color w:val="000000"/>
          <w:spacing w:val="17"/>
          <w:sz w:val="32"/>
          <w:szCs w:val="32"/>
          <w:lang w:eastAsia="zh-CN"/>
        </w:rPr>
        <w:t>。</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FangSong_GB2312"/>
          <w:color w:val="000000"/>
          <w:spacing w:val="17"/>
          <w:sz w:val="32"/>
          <w:szCs w:val="32"/>
        </w:rPr>
      </w:pPr>
      <w:r>
        <w:rPr>
          <w:rFonts w:eastAsia="FangSong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FangSong_GB2312"/>
          <w:color w:val="000000"/>
          <w:spacing w:val="17"/>
          <w:sz w:val="32"/>
          <w:szCs w:val="32"/>
        </w:rPr>
      </w:pPr>
      <w:r>
        <w:rPr>
          <w:rFonts w:eastAsia="FangSong_GB2312"/>
          <w:color w:val="000000"/>
          <w:spacing w:val="17"/>
          <w:sz w:val="32"/>
          <w:szCs w:val="32"/>
        </w:rPr>
        <w:t>（1）比较法</w:t>
      </w:r>
    </w:p>
    <w:p>
      <w:pPr>
        <w:spacing w:line="560" w:lineRule="exact"/>
        <w:ind w:firstLine="708" w:firstLineChars="200"/>
        <w:rPr>
          <w:rFonts w:eastAsia="FangSong_GB2312"/>
          <w:color w:val="000000"/>
          <w:spacing w:val="17"/>
          <w:sz w:val="32"/>
          <w:szCs w:val="32"/>
        </w:rPr>
      </w:pPr>
      <w:r>
        <w:rPr>
          <w:rFonts w:eastAsia="FangSong_GB2312"/>
          <w:color w:val="000000"/>
          <w:spacing w:val="17"/>
          <w:sz w:val="32"/>
          <w:szCs w:val="32"/>
        </w:rPr>
        <w:t>通过对绩效目标与实施效果、历史与当期情况，综合分析绩效目标实现程度。对</w:t>
      </w:r>
      <w:r>
        <w:rPr>
          <w:rFonts w:eastAsia="FangSong_GB2312"/>
          <w:sz w:val="32"/>
          <w:szCs w:val="32"/>
        </w:rPr>
        <w:t>项目</w:t>
      </w:r>
      <w:r>
        <w:rPr>
          <w:rFonts w:eastAsia="FangSong_GB2312"/>
          <w:color w:val="000000"/>
          <w:spacing w:val="17"/>
          <w:sz w:val="32"/>
          <w:szCs w:val="32"/>
        </w:rPr>
        <w:t>最终验收情况与年度绩效目标对比、预算资金执行情况等相关因素进行比较。</w:t>
      </w:r>
    </w:p>
    <w:p>
      <w:pPr>
        <w:spacing w:line="560" w:lineRule="exact"/>
        <w:ind w:firstLine="708" w:firstLineChars="200"/>
        <w:rPr>
          <w:rFonts w:eastAsia="FangSong_GB2312"/>
          <w:color w:val="000000"/>
          <w:spacing w:val="17"/>
          <w:sz w:val="32"/>
          <w:szCs w:val="32"/>
        </w:rPr>
      </w:pPr>
      <w:r>
        <w:rPr>
          <w:rFonts w:eastAsia="FangSong_GB2312"/>
          <w:color w:val="000000"/>
          <w:spacing w:val="17"/>
          <w:sz w:val="32"/>
          <w:szCs w:val="32"/>
        </w:rPr>
        <w:t>（2）因素分析法</w:t>
      </w:r>
    </w:p>
    <w:p>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eastAsia="FangSong_GB2312"/>
          <w:color w:val="000000"/>
          <w:spacing w:val="17"/>
          <w:sz w:val="32"/>
          <w:szCs w:val="32"/>
        </w:rPr>
        <w:t>通过综合分析影响绩效目标实现、实施效果的内外因素，评价绩效目标实现程度。通过对</w:t>
      </w:r>
      <w:r>
        <w:rPr>
          <w:rFonts w:eastAsia="FangSong_GB2312"/>
          <w:sz w:val="32"/>
          <w:szCs w:val="32"/>
        </w:rPr>
        <w:t>项目</w:t>
      </w:r>
      <w:r>
        <w:rPr>
          <w:rFonts w:eastAsia="FangSong_GB2312"/>
          <w:color w:val="000000"/>
          <w:spacing w:val="17"/>
          <w:sz w:val="32"/>
          <w:szCs w:val="32"/>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行业</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10"/>
        <w:numPr>
          <w:ilvl w:val="0"/>
          <w:numId w:val="0"/>
        </w:numPr>
        <w:spacing w:before="0" w:after="0" w:line="560" w:lineRule="exact"/>
        <w:jc w:val="both"/>
        <w:rPr>
          <w:rFonts w:hint="default" w:ascii="Times New Roman" w:hAnsi="Times New Roman" w:eastAsia="楷体" w:cs="Times New Roman"/>
          <w:color w:val="000000"/>
          <w:spacing w:val="17"/>
        </w:rPr>
      </w:pPr>
      <w:r>
        <w:rPr>
          <w:rFonts w:hint="eastAsia" w:ascii="Times New Roman" w:hAnsi="Times New Roman" w:eastAsia="楷体" w:cs="Times New Roman"/>
          <w:color w:val="000000"/>
          <w:spacing w:val="17"/>
          <w:lang w:eastAsia="zh-CN"/>
        </w:rPr>
        <w:t>（</w:t>
      </w:r>
      <w:r>
        <w:rPr>
          <w:rFonts w:hint="eastAsia" w:ascii="Times New Roman" w:hAnsi="Times New Roman" w:eastAsia="楷体" w:cs="Times New Roman"/>
          <w:color w:val="000000"/>
          <w:spacing w:val="17"/>
          <w:lang w:val="en-US" w:eastAsia="zh-CN"/>
        </w:rPr>
        <w:t>三</w:t>
      </w:r>
      <w:r>
        <w:rPr>
          <w:rFonts w:hint="eastAsia" w:ascii="Times New Roman" w:hAnsi="Times New Roman" w:eastAsia="楷体" w:cs="Times New Roman"/>
          <w:color w:val="000000"/>
          <w:spacing w:val="17"/>
          <w:lang w:eastAsia="zh-CN"/>
        </w:rPr>
        <w:t>）</w:t>
      </w: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本项目的综合评价基于对项目各方面绩效的深入分析与评估。从项目目标的达成情况来看，[新党办发【2017】47号 自治区党委办公厅 自治区人民政府办公厅 印发《关于进一步加强和改进离退休干部工作的实施意见》的通知等相关文件要求，离退休干部及离休干部遗孀春节慰问资金，老干部活动中心改造搬迁，离退休干部报刊，离退休干部党组织书记工作补贴，老干部半年经济社会发展通报会及观摩会经，老干部全年通报会等]方面表现出色，达到了预期的标准与要求。同时，项目也在</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为提高全县离退休干部生活水平，满足生活需求、确保政治待遇及生活待遇。</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取得了显著的成效，如[我单位要落实好离退休干部及离休干部遗孀春节慰问资金，老干部活动中心改造搬迁，离退休干部报刊费，离退休干部党组织书记工作补贴，老干部半年经济社会发展通报会及观摩会经费，老干部全年通报会</w:t>
      </w:r>
      <w:r>
        <w:rPr>
          <w:rFonts w:hint="eastAsia" w:eastAsia="仿宋_GB2312" w:cs="Times New Roman"/>
          <w:sz w:val="32"/>
          <w:szCs w:val="32"/>
          <w:highlight w:val="none"/>
          <w:lang w:eastAsia="zh-CN"/>
        </w:rPr>
        <w:t>工作</w:t>
      </w:r>
      <w:r>
        <w:rPr>
          <w:rFonts w:hint="default" w:ascii="Times New Roman" w:hAnsi="Times New Roman" w:eastAsia="仿宋_GB2312" w:cs="Times New Roman"/>
          <w:sz w:val="32"/>
          <w:szCs w:val="32"/>
          <w:highlight w:val="none"/>
        </w:rPr>
        <w:t>]等。</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ascii="Times New Roman" w:hAnsi="Times New Roman" w:eastAsia="FangSong_GB2312"/>
          <w:b w:val="0"/>
          <w:bCs w:val="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FangSong_GB2312"/>
          <w:b w:val="0"/>
          <w:bCs w:val="0"/>
          <w:highlight w:val="none"/>
        </w:rPr>
        <w:t xml:space="preserve">总得分为 </w:t>
      </w:r>
      <w:r>
        <w:rPr>
          <w:rFonts w:hint="eastAsia" w:ascii="Times New Roman" w:hAnsi="Times New Roman" w:eastAsia="宋体"/>
          <w:b w:val="0"/>
          <w:bCs w:val="0"/>
          <w:highlight w:val="none"/>
          <w:lang w:val="en-US" w:eastAsia="zh-CN"/>
        </w:rPr>
        <w:t>97</w:t>
      </w:r>
      <w:r>
        <w:rPr>
          <w:rFonts w:hint="eastAsia" w:ascii="Times New Roman" w:hAnsi="Times New Roman" w:eastAsia="FangSong_GB2312"/>
          <w:b w:val="0"/>
          <w:bCs w:val="0"/>
          <w:highlight w:val="none"/>
        </w:rPr>
        <w:t>分，属于“</w:t>
      </w:r>
      <w:r>
        <w:rPr>
          <w:rFonts w:hint="eastAsia" w:ascii="Times New Roman" w:hAnsi="Times New Roman" w:eastAsia="宋体"/>
          <w:b w:val="0"/>
          <w:bCs w:val="0"/>
          <w:highlight w:val="none"/>
          <w:lang w:val="en-US" w:eastAsia="zh-CN"/>
        </w:rPr>
        <w:t xml:space="preserve"> </w:t>
      </w:r>
      <w:r>
        <w:rPr>
          <w:rFonts w:hint="eastAsia" w:ascii="Times New Roman" w:hAnsi="Times New Roman" w:eastAsia="FangSong_GB2312"/>
          <w:b w:val="0"/>
          <w:bCs w:val="0"/>
          <w:highlight w:val="none"/>
        </w:rPr>
        <w:t xml:space="preserve">优”。其中，项目决策类指标权重为20分，得分为 </w:t>
      </w:r>
      <w:r>
        <w:rPr>
          <w:rFonts w:hint="eastAsia" w:ascii="Times New Roman" w:hAnsi="Times New Roman" w:eastAsia="宋体"/>
          <w:b w:val="0"/>
          <w:bCs w:val="0"/>
          <w:highlight w:val="none"/>
          <w:lang w:val="en-US" w:eastAsia="zh-CN"/>
        </w:rPr>
        <w:t>20</w:t>
      </w:r>
      <w:r>
        <w:rPr>
          <w:rFonts w:hint="eastAsia" w:ascii="Times New Roman" w:hAnsi="Times New Roman" w:eastAsia="FangSong_GB2312"/>
          <w:b w:val="0"/>
          <w:bCs w:val="0"/>
          <w:highlight w:val="none"/>
        </w:rPr>
        <w:t xml:space="preserve">分，得分率为 </w:t>
      </w:r>
      <w:r>
        <w:rPr>
          <w:rFonts w:hint="eastAsia" w:ascii="Times New Roman" w:hAnsi="Times New Roman" w:eastAsia="宋体"/>
          <w:b w:val="0"/>
          <w:bCs w:val="0"/>
          <w:highlight w:val="none"/>
          <w:lang w:val="en-US" w:eastAsia="zh-CN"/>
        </w:rPr>
        <w:t>100</w:t>
      </w:r>
      <w:r>
        <w:rPr>
          <w:rFonts w:hint="eastAsia" w:ascii="Times New Roman" w:hAnsi="Times New Roman" w:eastAsia="FangSong_GB2312"/>
          <w:b w:val="0"/>
          <w:bCs w:val="0"/>
          <w:highlight w:val="none"/>
        </w:rPr>
        <w:t>%。项目过程类指标权重为20分，得分为</w:t>
      </w:r>
      <w:r>
        <w:rPr>
          <w:rFonts w:hint="eastAsia" w:ascii="Times New Roman" w:hAnsi="Times New Roman" w:eastAsia="宋体"/>
          <w:b w:val="0"/>
          <w:bCs w:val="0"/>
          <w:highlight w:val="none"/>
          <w:lang w:val="en-US" w:eastAsia="zh-CN"/>
        </w:rPr>
        <w:t>20</w:t>
      </w:r>
      <w:r>
        <w:rPr>
          <w:rFonts w:hint="eastAsia" w:ascii="Times New Roman" w:hAnsi="Times New Roman" w:eastAsia="FangSong_GB2312"/>
          <w:b w:val="0"/>
          <w:bCs w:val="0"/>
          <w:highlight w:val="none"/>
        </w:rPr>
        <w:t>分，得分率为</w:t>
      </w:r>
      <w:r>
        <w:rPr>
          <w:rFonts w:hint="eastAsia" w:ascii="Times New Roman" w:hAnsi="Times New Roman" w:eastAsia="宋体"/>
          <w:b w:val="0"/>
          <w:bCs w:val="0"/>
          <w:highlight w:val="none"/>
          <w:lang w:val="en-US" w:eastAsia="zh-CN"/>
        </w:rPr>
        <w:t>100</w:t>
      </w:r>
      <w:r>
        <w:rPr>
          <w:rFonts w:hint="eastAsia" w:ascii="Times New Roman" w:hAnsi="Times New Roman" w:eastAsia="FangSong_GB2312"/>
          <w:b w:val="0"/>
          <w:bCs w:val="0"/>
          <w:highlight w:val="none"/>
        </w:rPr>
        <w:t>%。项目产出类指标权重为40分，得分为</w:t>
      </w:r>
      <w:r>
        <w:rPr>
          <w:rFonts w:hint="eastAsia" w:ascii="Times New Roman" w:hAnsi="Times New Roman" w:eastAsia="宋体"/>
          <w:b w:val="0"/>
          <w:bCs w:val="0"/>
          <w:highlight w:val="none"/>
          <w:lang w:val="en-US" w:eastAsia="zh-CN"/>
        </w:rPr>
        <w:t>37</w:t>
      </w:r>
      <w:r>
        <w:rPr>
          <w:rFonts w:hint="eastAsia" w:ascii="Times New Roman" w:hAnsi="Times New Roman" w:eastAsia="FangSong_GB2312"/>
          <w:b w:val="0"/>
          <w:bCs w:val="0"/>
          <w:highlight w:val="none"/>
        </w:rPr>
        <w:t xml:space="preserve">分，得分率为 </w:t>
      </w:r>
      <w:r>
        <w:rPr>
          <w:rFonts w:hint="eastAsia" w:ascii="Times New Roman" w:hAnsi="Times New Roman" w:eastAsia="宋体"/>
          <w:b w:val="0"/>
          <w:bCs w:val="0"/>
          <w:highlight w:val="none"/>
          <w:lang w:val="en-US" w:eastAsia="zh-CN"/>
        </w:rPr>
        <w:t>92.5</w:t>
      </w:r>
      <w:r>
        <w:rPr>
          <w:rFonts w:hint="eastAsia" w:ascii="Times New Roman" w:hAnsi="Times New Roman" w:eastAsia="FangSong_GB2312"/>
          <w:b w:val="0"/>
          <w:bCs w:val="0"/>
          <w:highlight w:val="none"/>
        </w:rPr>
        <w:t>%。项目效益类指标权重为20分，得分为</w:t>
      </w:r>
      <w:r>
        <w:rPr>
          <w:rFonts w:hint="eastAsia" w:ascii="Times New Roman" w:hAnsi="Times New Roman" w:eastAsia="宋体"/>
          <w:b w:val="0"/>
          <w:bCs w:val="0"/>
          <w:highlight w:val="none"/>
          <w:lang w:val="en-US" w:eastAsia="zh-CN"/>
        </w:rPr>
        <w:t>20</w:t>
      </w:r>
      <w:r>
        <w:rPr>
          <w:rFonts w:hint="eastAsia" w:ascii="Times New Roman" w:hAnsi="Times New Roman" w:eastAsia="FangSong_GB2312"/>
          <w:b w:val="0"/>
          <w:bCs w:val="0"/>
          <w:highlight w:val="none"/>
        </w:rPr>
        <w:t>分，得分率为</w:t>
      </w:r>
      <w:r>
        <w:rPr>
          <w:rFonts w:hint="eastAsia" w:ascii="Times New Roman" w:hAnsi="Times New Roman" w:eastAsia="宋体"/>
          <w:b w:val="0"/>
          <w:bCs w:val="0"/>
          <w:highlight w:val="none"/>
          <w:lang w:val="en-US" w:eastAsia="zh-CN"/>
        </w:rPr>
        <w:t>100</w:t>
      </w:r>
      <w:r>
        <w:rPr>
          <w:rFonts w:hint="eastAsia" w:ascii="Times New Roman" w:hAnsi="Times New Roman" w:eastAsia="FangSong_GB2312"/>
          <w:b w:val="0"/>
          <w:bCs w:val="0"/>
          <w:highlight w:val="none"/>
        </w:rPr>
        <w:t>%。</w:t>
      </w:r>
      <w:r>
        <w:rPr>
          <w:rFonts w:hint="eastAsia" w:ascii="Times New Roman" w:hAnsi="Times New Roman" w:eastAsia="FangSong_GB2312"/>
          <w:b w:val="0"/>
          <w:bCs w:val="0"/>
        </w:rPr>
        <w:t>具体打分情况详见：</w:t>
      </w:r>
      <w:r>
        <w:rPr>
          <w:rFonts w:hint="eastAsia" w:ascii="Times New Roman" w:hAnsi="Times New Roman" w:eastAsia="FangSong_GB2312"/>
          <w:b w:val="0"/>
          <w:bCs w:val="0"/>
          <w:highlight w:val="none"/>
        </w:rPr>
        <w:t>附件1综合评分表。</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eastAsia" w:eastAsia="仿宋_GB2312" w:cs="Times New Roman"/>
                <w:color w:val="000000"/>
                <w:sz w:val="21"/>
                <w:szCs w:val="21"/>
                <w:lang w:val="en-US" w:eastAsia="zh-CN"/>
              </w:rPr>
              <w:t>37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eastAsia" w:eastAsia="仿宋_GB2312" w:cs="Times New Roman"/>
                <w:b/>
                <w:bCs/>
                <w:color w:val="000000"/>
                <w:sz w:val="21"/>
                <w:szCs w:val="21"/>
                <w:lang w:val="en-US" w:eastAsia="zh-CN"/>
              </w:rPr>
              <w:t>97</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pacing w:line="600" w:lineRule="exact"/>
        <w:ind w:firstLine="600" w:firstLineChars="200"/>
        <w:outlineLvl w:val="0"/>
        <w:rPr>
          <w:rFonts w:ascii="FangSong_GB2312" w:hAnsi="FangSong_GB2312" w:eastAsia="FangSong_GB2312" w:cs="FangSong_GB2312"/>
          <w:sz w:val="30"/>
          <w:szCs w:val="30"/>
          <w:highlight w:val="yellow"/>
        </w:rPr>
      </w:pPr>
      <w:r>
        <w:rPr>
          <w:rFonts w:hint="eastAsia" w:ascii="FangSong_GB2312" w:hAnsi="FangSong_GB2312" w:eastAsia="FangSong_GB2312" w:cs="FangSong_GB2312"/>
          <w:sz w:val="30"/>
          <w:szCs w:val="30"/>
        </w:rPr>
        <w:t>项目决策类指标包括项目立项、绩效目标和资金投入三方面的内容</w:t>
      </w:r>
      <w:r>
        <w:rPr>
          <w:rFonts w:hint="eastAsia" w:ascii="FangSong_GB2312" w:hAnsi="FangSong_GB2312" w:eastAsia="FangSong_GB2312" w:cs="FangSong_GB2312"/>
          <w:sz w:val="30"/>
          <w:szCs w:val="30"/>
          <w:highlight w:val="none"/>
        </w:rPr>
        <w:t>，由</w:t>
      </w:r>
      <w:r>
        <w:rPr>
          <w:rFonts w:hint="eastAsia" w:ascii="FangSong_GB2312" w:hAnsi="FangSong_GB2312" w:eastAsia="FangSong_GB2312" w:cs="FangSong_GB2312"/>
          <w:sz w:val="30"/>
          <w:szCs w:val="30"/>
          <w:highlight w:val="none"/>
          <w:lang w:val="en-US" w:eastAsia="zh-CN"/>
        </w:rPr>
        <w:t>9</w:t>
      </w:r>
      <w:r>
        <w:rPr>
          <w:rFonts w:hint="eastAsia" w:ascii="FangSong_GB2312" w:hAnsi="FangSong_GB2312" w:eastAsia="FangSong_GB2312" w:cs="FangSong_GB2312"/>
          <w:sz w:val="30"/>
          <w:szCs w:val="30"/>
          <w:highlight w:val="none"/>
        </w:rPr>
        <w:t>个三级指标构成，权重分值为20分，实际得分</w:t>
      </w:r>
      <w:r>
        <w:rPr>
          <w:rFonts w:hint="eastAsia" w:ascii="FangSong_GB2312" w:hAnsi="FangSong_GB2312" w:cs="FangSong_GB2312"/>
          <w:sz w:val="30"/>
          <w:szCs w:val="30"/>
          <w:highlight w:val="none"/>
          <w:lang w:val="en-US" w:eastAsia="zh-CN"/>
        </w:rPr>
        <w:t>20</w:t>
      </w:r>
      <w:r>
        <w:rPr>
          <w:rFonts w:hint="eastAsia" w:ascii="FangSong_GB2312" w:hAnsi="FangSong_GB2312" w:eastAsia="FangSong_GB2312" w:cs="FangSong_GB2312"/>
          <w:sz w:val="30"/>
          <w:szCs w:val="30"/>
          <w:highlight w:val="none"/>
        </w:rPr>
        <w:t>分，得分率为</w:t>
      </w:r>
      <w:r>
        <w:rPr>
          <w:rFonts w:hint="eastAsia" w:ascii="FangSong_GB2312" w:hAnsi="FangSong_GB2312" w:cs="FangSong_GB2312"/>
          <w:sz w:val="30"/>
          <w:szCs w:val="30"/>
          <w:highlight w:val="none"/>
          <w:lang w:val="en-US" w:eastAsia="zh-CN"/>
        </w:rPr>
        <w:t>100</w:t>
      </w:r>
      <w:r>
        <w:rPr>
          <w:rFonts w:hint="eastAsia" w:ascii="FangSong_GB2312" w:hAnsi="FangSong_GB2312" w:eastAsia="FangSong_GB2312" w:cs="FangSong_GB2312"/>
          <w:sz w:val="30"/>
          <w:szCs w:val="30"/>
          <w:highlight w:val="none"/>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pacing w:line="600" w:lineRule="exact"/>
        <w:ind w:firstLine="640" w:firstLineChars="200"/>
        <w:outlineLvl w:val="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项目立项依据</w:t>
      </w:r>
      <w:r>
        <w:rPr>
          <w:rFonts w:hint="eastAsia" w:ascii="FangSong_GB2312" w:hAnsi="FangSong_GB2312" w:eastAsia="FangSong_GB2312" w:cs="FangSong_GB2312"/>
          <w:sz w:val="32"/>
          <w:szCs w:val="32"/>
          <w:lang w:val="en-US" w:eastAsia="zh-CN"/>
        </w:rPr>
        <w:t>为新党办发【2017】47号 自治区党委办公厅，自治区人民政府办公厅印发《关于进一步加强和改进离退休干部工作的意见》的通知。</w:t>
      </w:r>
      <w:r>
        <w:rPr>
          <w:rFonts w:hint="eastAsia" w:ascii="FangSong_GB2312" w:hAnsi="FangSong_GB2312" w:eastAsia="FangSong_GB2312" w:cs="FangSong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FangSong_GB2312" w:hAnsi="FangSong_GB2312" w:eastAsia="FangSong_GB2312" w:cs="FangSong_GB2312"/>
          <w:sz w:val="32"/>
          <w:szCs w:val="32"/>
        </w:rPr>
        <w:t>项目申请、设立过程符合相关要求，</w:t>
      </w:r>
      <w:r>
        <w:rPr>
          <w:rFonts w:hint="eastAsia" w:ascii="FangSong_GB2312" w:hAnsi="FangSong_GB2312" w:eastAsia="FangSong_GB2312" w:cs="FangSong_GB2312"/>
          <w:sz w:val="32"/>
          <w:szCs w:val="32"/>
          <w:lang w:eastAsia="zh-Hans"/>
        </w:rPr>
        <w:t>严格按照审批流程准备符合要求的文件、材料；</w:t>
      </w:r>
      <w:r>
        <w:rPr>
          <w:rFonts w:hint="eastAsia" w:ascii="FangSong_GB2312" w:hAnsi="FangSong_GB2312" w:eastAsia="FangSong_GB2312" w:cs="FangSong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w:t>
      </w:r>
      <w:r>
        <w:rPr>
          <w:rFonts w:hint="eastAsia" w:ascii="FangSong_GB2312" w:hAnsi="FangSong_GB2312" w:cs="FangSong_GB2312"/>
          <w:sz w:val="32"/>
          <w:szCs w:val="32"/>
          <w:lang w:val="en-US" w:eastAsia="zh-CN"/>
        </w:rPr>
        <w:t>决策，</w:t>
      </w:r>
      <w:r>
        <w:rPr>
          <w:rFonts w:hint="eastAsia" w:ascii="FangSong_GB2312" w:hAnsi="FangSong_GB2312" w:eastAsia="FangSong_GB2312" w:cs="FangSong_GB2312"/>
          <w:sz w:val="32"/>
          <w:szCs w:val="32"/>
        </w:rPr>
        <w:t>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2"/>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pacing w:line="600" w:lineRule="exact"/>
        <w:ind w:firstLine="640" w:firstLineChars="200"/>
        <w:outlineLvl w:val="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项目过程类指标包括资金管理和组织实施两方面的内容，由</w:t>
      </w:r>
      <w:r>
        <w:rPr>
          <w:rFonts w:hint="eastAsia" w:ascii="FangSong_GB2312" w:hAnsi="FangSong_GB2312" w:eastAsia="FangSong_GB2312" w:cs="FangSong_GB2312"/>
          <w:sz w:val="32"/>
          <w:szCs w:val="32"/>
          <w:lang w:val="en-US" w:eastAsia="zh-CN"/>
        </w:rPr>
        <w:t>11</w:t>
      </w:r>
      <w:r>
        <w:rPr>
          <w:rFonts w:hint="eastAsia" w:ascii="FangSong_GB2312" w:hAnsi="FangSong_GB2312" w:eastAsia="FangSong_GB2312" w:cs="FangSong_GB2312"/>
          <w:sz w:val="32"/>
          <w:szCs w:val="32"/>
        </w:rPr>
        <w:t>个三级指</w:t>
      </w:r>
      <w:r>
        <w:rPr>
          <w:rFonts w:hint="eastAsia" w:ascii="FangSong_GB2312" w:hAnsi="FangSong_GB2312" w:eastAsia="FangSong_GB2312" w:cs="FangSong_GB2312"/>
          <w:sz w:val="32"/>
          <w:szCs w:val="32"/>
          <w:highlight w:val="none"/>
        </w:rPr>
        <w:t>标构成，权重分值为</w:t>
      </w:r>
      <w:r>
        <w:rPr>
          <w:rFonts w:hint="eastAsia" w:ascii="FangSong_GB2312" w:hAnsi="FangSong_GB2312" w:eastAsia="FangSong_GB2312" w:cs="FangSong_GB2312"/>
          <w:sz w:val="32"/>
          <w:szCs w:val="32"/>
          <w:highlight w:val="none"/>
          <w:lang w:val="en-US" w:eastAsia="zh-CN"/>
        </w:rPr>
        <w:t>20</w:t>
      </w:r>
      <w:r>
        <w:rPr>
          <w:rFonts w:hint="eastAsia" w:ascii="FangSong_GB2312" w:hAnsi="FangSong_GB2312" w:eastAsia="FangSong_GB2312" w:cs="FangSong_GB2312"/>
          <w:sz w:val="32"/>
          <w:szCs w:val="32"/>
          <w:highlight w:val="none"/>
        </w:rPr>
        <w:t>分，实际得分</w:t>
      </w:r>
      <w:r>
        <w:rPr>
          <w:rFonts w:hint="eastAsia" w:ascii="FangSong_GB2312" w:hAnsi="FangSong_GB2312" w:cs="FangSong_GB2312"/>
          <w:sz w:val="32"/>
          <w:szCs w:val="32"/>
          <w:highlight w:val="none"/>
          <w:lang w:val="en-US" w:eastAsia="zh-CN"/>
        </w:rPr>
        <w:t>20</w:t>
      </w:r>
      <w:r>
        <w:rPr>
          <w:rFonts w:hint="eastAsia" w:ascii="FangSong_GB2312" w:hAnsi="FangSong_GB2312" w:eastAsia="FangSong_GB2312" w:cs="FangSong_GB2312"/>
          <w:sz w:val="32"/>
          <w:szCs w:val="32"/>
          <w:highlight w:val="none"/>
        </w:rPr>
        <w:t>分，得分率为</w:t>
      </w:r>
      <w:r>
        <w:rPr>
          <w:rFonts w:hint="eastAsia" w:ascii="FangSong_GB2312" w:hAnsi="FangSong_GB2312" w:cs="FangSong_GB2312"/>
          <w:sz w:val="32"/>
          <w:szCs w:val="32"/>
          <w:highlight w:val="none"/>
          <w:lang w:val="en-US" w:eastAsia="zh-CN"/>
        </w:rPr>
        <w:t>100</w:t>
      </w:r>
      <w:r>
        <w:rPr>
          <w:rFonts w:hint="eastAsia" w:ascii="FangSong_GB2312" w:hAnsi="FangSong_GB2312" w:eastAsia="FangSong_GB2312" w:cs="FangSong_GB2312"/>
          <w:sz w:val="32"/>
          <w:szCs w:val="32"/>
          <w:highlight w:val="none"/>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本项目总投资</w:t>
      </w:r>
      <w:r>
        <w:rPr>
          <w:rFonts w:hint="eastAsia" w:eastAsia="仿宋_GB2312" w:cs="Times New Roman"/>
          <w:color w:val="000000" w:themeColor="text1"/>
          <w:sz w:val="32"/>
          <w:szCs w:val="32"/>
          <w:highlight w:val="none"/>
          <w:lang w:val="en-US" w:eastAsia="zh-CN"/>
          <w14:textFill>
            <w14:solidFill>
              <w14:schemeClr w14:val="tx1"/>
            </w14:solidFill>
          </w14:textFill>
        </w:rPr>
        <w:t>25.33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万元，财政资金及时足额到位，到位率</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%，预算资金按计划进度执行。</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（2）预算执行率</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预算编制较为详细，项目资金支出总体能够按照预算执行，预算资金支出</w:t>
      </w:r>
      <w:r>
        <w:rPr>
          <w:rFonts w:hint="eastAsia" w:eastAsia="仿宋_GB2312" w:cs="Times New Roman"/>
          <w:color w:val="000000" w:themeColor="text1"/>
          <w:sz w:val="32"/>
          <w:szCs w:val="32"/>
          <w:highlight w:val="none"/>
          <w:lang w:val="en-US" w:eastAsia="zh-CN"/>
          <w14:textFill>
            <w14:solidFill>
              <w14:schemeClr w14:val="tx1"/>
            </w14:solidFill>
          </w14:textFill>
        </w:rPr>
        <w:t>25.32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99.96</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2"/>
        </w:numPr>
        <w:spacing w:line="560" w:lineRule="exact"/>
        <w:ind w:firstLine="643"/>
        <w:rPr>
          <w:rFonts w:hint="default" w:ascii="Times New Roman" w:hAnsi="Times New Roman" w:eastAsia="楷体_GB2312" w:cs="Times New Roman"/>
          <w:b/>
          <w:bCs/>
          <w:sz w:val="32"/>
          <w:szCs w:val="32"/>
        </w:rPr>
      </w:pPr>
      <w:r>
        <w:rPr>
          <w:rFonts w:hint="eastAsia" w:eastAsia="楷体_GB2312" w:cs="Times New Roman"/>
          <w:b/>
          <w:bCs/>
          <w:sz w:val="32"/>
          <w:szCs w:val="32"/>
          <w:lang w:val="en-US" w:eastAsia="zh-CN"/>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37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92.5</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FangSong_GB2312" w:hAnsi="FangSong_GB2312" w:cs="FangSong_GB2312"/>
          <w:sz w:val="32"/>
          <w:szCs w:val="32"/>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慰问次数</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≥1次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1次</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慰问人数</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≥85人</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85人</w:t>
      </w:r>
      <w:r>
        <w:rPr>
          <w:rFonts w:hint="default" w:ascii="Times New Roman" w:hAnsi="Times New Roman" w:eastAsia="仿宋_GB2312" w:cs="Times New Roman"/>
          <w:sz w:val="32"/>
          <w:szCs w:val="32"/>
          <w:highlight w:val="none"/>
        </w:rPr>
        <w:t xml:space="preserve"> ，指标完成率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老干部通报会</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FangSong_GB2312" w:hAnsi="FangSong_GB2312" w:cs="FangSong_GB2312"/>
          <w:sz w:val="32"/>
          <w:szCs w:val="32"/>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发放补贴人数</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≥9人</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9人</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资金使用和规律</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资金发放及时性</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ascii="FangSong_GB2312" w:hAnsi="FangSong_GB2312" w:cs="FangSong_GB2312"/>
          <w:sz w:val="32"/>
          <w:szCs w:val="32"/>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发放慰问金</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≤500元/人/次</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500元/人/次</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发放补贴</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300元/人/月，实际完成值：300元/人/月，指标完成率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pStyle w:val="12"/>
        <w:numPr>
          <w:ilvl w:val="0"/>
          <w:numId w:val="2"/>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w:t>
      </w:r>
      <w:r>
        <w:rPr>
          <w:rFonts w:hint="default" w:ascii="Times New Roman" w:hAnsi="Times New Roman" w:eastAsia="仿宋_GB2312" w:cs="Times New Roman"/>
          <w:sz w:val="32"/>
          <w:szCs w:val="32"/>
          <w:lang w:val="en-US" w:eastAsia="zh-CN"/>
        </w:rPr>
        <w:t>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FangSong_GB2312" w:hAnsi="FangSong_GB2312" w:cs="FangSong_GB2312"/>
          <w:sz w:val="32"/>
          <w:szCs w:val="32"/>
          <w:lang w:val="en-US" w:eastAsia="zh-CN"/>
        </w:rPr>
      </w:pPr>
      <w:r>
        <w:rPr>
          <w:rFonts w:hint="default" w:ascii="Times New Roman" w:hAnsi="Times New Roman" w:eastAsia="仿宋_GB2312" w:cs="Times New Roman"/>
          <w:sz w:val="32"/>
          <w:szCs w:val="32"/>
          <w:highlight w:val="none"/>
        </w:rPr>
        <w:t>指标1：提高老干部生活待遇，指标值：</w:t>
      </w:r>
      <w:r>
        <w:rPr>
          <w:rFonts w:hint="eastAsia" w:ascii="FangSong_GB2312" w:hAnsi="FangSong_GB2312" w:cs="FangSong_GB2312"/>
          <w:sz w:val="32"/>
          <w:szCs w:val="32"/>
          <w:lang w:val="en-US" w:eastAsia="zh-CN"/>
        </w:rPr>
        <w:t>效果显著</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：提高老干部</w:t>
      </w:r>
      <w:r>
        <w:rPr>
          <w:rFonts w:hint="eastAsia" w:eastAsia="仿宋_GB2312" w:cs="Times New Roman"/>
          <w:sz w:val="32"/>
          <w:szCs w:val="32"/>
          <w:highlight w:val="none"/>
          <w:lang w:eastAsia="zh-CN"/>
        </w:rPr>
        <w:t>思想政治水平</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效果显著</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FangSong_GB2312" w:hAnsi="FangSong_GB2312" w:cs="FangSong_GB2312"/>
          <w:sz w:val="32"/>
          <w:szCs w:val="32"/>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慰问人员满意度</w:t>
      </w:r>
      <w:r>
        <w:rPr>
          <w:rFonts w:hint="default" w:ascii="Times New Roman" w:hAnsi="Times New Roman" w:eastAsia="仿宋_GB2312" w:cs="Times New Roman"/>
          <w:sz w:val="32"/>
          <w:szCs w:val="32"/>
          <w:highlight w:val="none"/>
        </w:rPr>
        <w:t>，指标值：</w:t>
      </w:r>
      <w:r>
        <w:rPr>
          <w:rFonts w:hint="eastAsia" w:ascii="FangSong_GB2312" w:hAnsi="FangSong_GB2312" w:cs="FangSong_GB2312"/>
          <w:sz w:val="32"/>
          <w:szCs w:val="32"/>
          <w:lang w:val="en-US" w:eastAsia="zh-CN"/>
        </w:rPr>
        <w:t>≥95%</w:t>
      </w:r>
      <w:r>
        <w:rPr>
          <w:rFonts w:hint="default" w:ascii="Times New Roman" w:hAnsi="Times New Roman" w:eastAsia="仿宋_GB2312" w:cs="Times New Roman"/>
          <w:sz w:val="32"/>
          <w:szCs w:val="32"/>
          <w:highlight w:val="none"/>
        </w:rPr>
        <w:t>，实际完成值：</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，指标完成率</w:t>
      </w:r>
      <w:r>
        <w:rPr>
          <w:rFonts w:hint="eastAsia" w:ascii="FangSong_GB2312" w:hAnsi="FangSong_GB2312" w:cs="FangSong_GB2312"/>
          <w:sz w:val="32"/>
          <w:szCs w:val="32"/>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ascii="FangSong_GB2312" w:hAnsi="FangSong_GB2312" w:eastAsia="FangSong_GB2312" w:cs="FangSong_GB2312"/>
          <w:sz w:val="32"/>
          <w:szCs w:val="32"/>
        </w:rPr>
        <w:t>偏差原因：</w:t>
      </w:r>
      <w:r>
        <w:rPr>
          <w:rFonts w:hint="eastAsia" w:ascii="FangSong_GB2312" w:hAnsi="FangSong_GB2312" w:cs="FangSong_GB2312"/>
          <w:sz w:val="32"/>
          <w:szCs w:val="32"/>
          <w:lang w:val="en-US" w:eastAsia="zh-CN"/>
        </w:rPr>
        <w:t>无。</w:t>
      </w:r>
    </w:p>
    <w:p>
      <w:pPr>
        <w:pStyle w:val="12"/>
        <w:numPr>
          <w:ilvl w:val="0"/>
          <w:numId w:val="2"/>
        </w:numPr>
        <w:spacing w:line="560" w:lineRule="exact"/>
        <w:ind w:firstLine="643"/>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val="en-US" w:eastAsia="zh-CN"/>
        </w:rPr>
        <w:t>老年活动经费（年初本级）</w:t>
      </w:r>
      <w:r>
        <w:rPr>
          <w:rFonts w:hint="default"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44.2</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25.33</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25.32</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99.96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项目指标总体完成率为99.96%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Hans"/>
        </w:rPr>
        <w:t>总体</w:t>
      </w:r>
      <w:r>
        <w:rPr>
          <w:rFonts w:hint="eastAsia" w:ascii="Times New Roman" w:hAnsi="Times New Roman" w:eastAsia="仿宋_GB2312" w:cs="Times New Roman"/>
          <w:sz w:val="32"/>
          <w:szCs w:val="32"/>
          <w:lang w:eastAsia="zh-CN"/>
        </w:rPr>
        <w:t>偏差率为</w:t>
      </w:r>
      <w:r>
        <w:rPr>
          <w:rFonts w:hint="eastAsia" w:ascii="Times New Roman" w:hAnsi="Times New Roman" w:eastAsia="仿宋_GB2312" w:cs="Times New Roman"/>
          <w:sz w:val="32"/>
          <w:szCs w:val="32"/>
          <w:lang w:val="en-US" w:eastAsia="zh-CN"/>
        </w:rPr>
        <w:t>0.04%</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一是预算绩效管理体系需要逐渐健全；二是预算编制的水平有待提高。，改进措施</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进一步强化预算管理意识，预算编制前多与各单位做好沟通衔接，提高预算编制的科学性、合理性、准确性和可控性等问题。</w:t>
      </w:r>
    </w:p>
    <w:p>
      <w:pPr>
        <w:spacing w:line="560" w:lineRule="exact"/>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3"/>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w:t>
      </w:r>
      <w:bookmarkStart w:id="3" w:name="_GoBack"/>
      <w:bookmarkEnd w:id="3"/>
      <w:r>
        <w:rPr>
          <w:rFonts w:hint="default" w:ascii="Times New Roman" w:hAnsi="Times New Roman" w:eastAsia="仿宋_GB2312" w:cs="Times New Roman"/>
          <w:sz w:val="32"/>
          <w:szCs w:val="32"/>
          <w:highlight w:val="none"/>
          <w:lang w:val="en-US" w:eastAsia="zh-CN"/>
        </w:rPr>
        <w:t>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rPr>
        <w:t>老年活动经费（年初本级）项目绩效评价指标体系及综合评分表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680"/>
        <w:gridCol w:w="763"/>
        <w:gridCol w:w="1200"/>
        <w:gridCol w:w="777"/>
        <w:gridCol w:w="1269"/>
        <w:gridCol w:w="654"/>
        <w:gridCol w:w="887"/>
        <w:gridCol w:w="1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老年活动经费（年初本级）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32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中共特克斯县委老干部局</w:t>
            </w:r>
          </w:p>
        </w:tc>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中共特克斯县委老干部局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44.2</w:t>
            </w:r>
          </w:p>
        </w:tc>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25.33</w:t>
            </w:r>
          </w:p>
        </w:tc>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25.32</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99.96%</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44.2</w:t>
            </w:r>
          </w:p>
        </w:tc>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25.33</w:t>
            </w:r>
          </w:p>
        </w:tc>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25.32</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99.96%</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44"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63"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新党办发【2017】47号 自治区党委办公厅自治区人民政府办公厅印发《关于进一步加强和改进离退休干部工作的实施意见》的通知等相关文件要求，离退休干部及离休干部遗孀春节慰问资金，老干部活动中心改造搬迁费，离退休干部报刊费，离退休干部党组织书记工作补贴，老干部半年经济社会发展通报会及观摩会经费，老干部全年通报会等费用，共计25.33万元。</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我单位要落实好离退休干部政治生活待遇、组织离退休干部参加各类活动《老年大学、老干部活动中心》、积极发挥离退休于部作用《关心下一代工作委员会》、规范离退休党组织建设等工作,我单位要落实好离退休干部及离休干部遗孀春节慰问资金，老干部活动中心改造搬迁费，离退休干部报刊费，离退休干部党组织书记工作补贴，老干部半年经济社会发展通报会及观摩会经费，老干部全年通报会等费工作，全年支出共计25.3206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慰问次数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1次</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慰问人数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≥85人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85人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老干部通报会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≥2次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2次</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发放补贴人数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sz w:val="18"/>
                <w:szCs w:val="18"/>
                <w:lang w:val="en-US" w:eastAsia="zh-CN"/>
              </w:rPr>
              <w:t>≥9人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9人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资金使用合规率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资金发放及时性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发放慰问金</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≤500元/人/次</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500元/人/次</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发放补贴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≤300元/人/月</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300元/人/月</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提高老干部生活待遇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效果显著</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提高老干部思想政治水平</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效果显著</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慰问人员满意度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sz w:val="18"/>
                <w:szCs w:val="18"/>
                <w:lang w:val="en-US" w:eastAsia="zh-CN"/>
              </w:rPr>
              <w: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sz w:val="18"/>
                <w:szCs w:val="18"/>
                <w:lang w:val="en-US" w:eastAsia="zh-CN"/>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105%</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FangSong_GB2312">
    <w:altName w:val="仿宋_GB2312"/>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zMjAyZDQ4NDY5OTZhZTUwMjA5NDlmZWU1NmZiNzgifQ=="/>
  </w:docVars>
  <w:rsids>
    <w:rsidRoot w:val="FF6C4049"/>
    <w:rsid w:val="006F7242"/>
    <w:rsid w:val="007B168A"/>
    <w:rsid w:val="008B2CFE"/>
    <w:rsid w:val="00F26FF6"/>
    <w:rsid w:val="01610122"/>
    <w:rsid w:val="02510197"/>
    <w:rsid w:val="039668CD"/>
    <w:rsid w:val="03EC461B"/>
    <w:rsid w:val="07397B77"/>
    <w:rsid w:val="07DB3B97"/>
    <w:rsid w:val="0AD007F3"/>
    <w:rsid w:val="0D085E69"/>
    <w:rsid w:val="0E3C619F"/>
    <w:rsid w:val="0E5F48AB"/>
    <w:rsid w:val="0FED76F9"/>
    <w:rsid w:val="100F38EC"/>
    <w:rsid w:val="11170296"/>
    <w:rsid w:val="12C11A79"/>
    <w:rsid w:val="12C66037"/>
    <w:rsid w:val="12CD1ABC"/>
    <w:rsid w:val="13471461"/>
    <w:rsid w:val="13B90F01"/>
    <w:rsid w:val="155E4C4D"/>
    <w:rsid w:val="181066D2"/>
    <w:rsid w:val="18B63C29"/>
    <w:rsid w:val="1B1B109B"/>
    <w:rsid w:val="1C671E73"/>
    <w:rsid w:val="1D322C47"/>
    <w:rsid w:val="1E716A0F"/>
    <w:rsid w:val="23616034"/>
    <w:rsid w:val="23696C97"/>
    <w:rsid w:val="24480FA2"/>
    <w:rsid w:val="25227A45"/>
    <w:rsid w:val="25416830"/>
    <w:rsid w:val="26AC3A6A"/>
    <w:rsid w:val="272A324B"/>
    <w:rsid w:val="275E2B35"/>
    <w:rsid w:val="2B9D7E25"/>
    <w:rsid w:val="2C7C7A3B"/>
    <w:rsid w:val="2F364819"/>
    <w:rsid w:val="2FD63906"/>
    <w:rsid w:val="368B5C76"/>
    <w:rsid w:val="37215DAE"/>
    <w:rsid w:val="38CA40DD"/>
    <w:rsid w:val="395F2B56"/>
    <w:rsid w:val="3BBA0580"/>
    <w:rsid w:val="3BECE841"/>
    <w:rsid w:val="3CDE204C"/>
    <w:rsid w:val="3D1D3973"/>
    <w:rsid w:val="3D363C36"/>
    <w:rsid w:val="3E9C3F6D"/>
    <w:rsid w:val="3FF7797D"/>
    <w:rsid w:val="40240C01"/>
    <w:rsid w:val="44AF792A"/>
    <w:rsid w:val="46690BD8"/>
    <w:rsid w:val="47D40670"/>
    <w:rsid w:val="49F70BF1"/>
    <w:rsid w:val="4B4340EE"/>
    <w:rsid w:val="4D450250"/>
    <w:rsid w:val="4D4B380B"/>
    <w:rsid w:val="4F926D71"/>
    <w:rsid w:val="503D507A"/>
    <w:rsid w:val="50F8293E"/>
    <w:rsid w:val="51FA74D0"/>
    <w:rsid w:val="52AA4A52"/>
    <w:rsid w:val="54D201D0"/>
    <w:rsid w:val="59943D66"/>
    <w:rsid w:val="59D55066"/>
    <w:rsid w:val="59E051FD"/>
    <w:rsid w:val="59E6355E"/>
    <w:rsid w:val="5B821531"/>
    <w:rsid w:val="5BFF6039"/>
    <w:rsid w:val="5D76A616"/>
    <w:rsid w:val="5D7F20B9"/>
    <w:rsid w:val="5DAC7D0E"/>
    <w:rsid w:val="5F617BAA"/>
    <w:rsid w:val="5F98B5AF"/>
    <w:rsid w:val="5FFE8511"/>
    <w:rsid w:val="5FFEACE2"/>
    <w:rsid w:val="609D5BF6"/>
    <w:rsid w:val="61073070"/>
    <w:rsid w:val="61B9080E"/>
    <w:rsid w:val="61DF3FED"/>
    <w:rsid w:val="642B176B"/>
    <w:rsid w:val="643EE26D"/>
    <w:rsid w:val="656019A0"/>
    <w:rsid w:val="65F242EE"/>
    <w:rsid w:val="666D7E19"/>
    <w:rsid w:val="6783604A"/>
    <w:rsid w:val="68376930"/>
    <w:rsid w:val="68F91E38"/>
    <w:rsid w:val="69A820BA"/>
    <w:rsid w:val="6B177648"/>
    <w:rsid w:val="6B3158B9"/>
    <w:rsid w:val="6BA02A3F"/>
    <w:rsid w:val="6C1E5A53"/>
    <w:rsid w:val="6C42111F"/>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E6FCA"/>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13526</Words>
  <Characters>13996</Characters>
  <Lines>58</Lines>
  <Paragraphs>16</Paragraphs>
  <TotalTime>34</TotalTime>
  <ScaleCrop>false</ScaleCrop>
  <LinksUpToDate>false</LinksUpToDate>
  <CharactersWithSpaces>14036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2025-07-21T09:26:51Z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