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新疆伊犁州中共特克斯县委员会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政法委员会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rPr>
        <w:t>2021</w:t>
      </w:r>
      <w:r>
        <w:rPr>
          <w:rFonts w:hint="eastAsia" w:ascii="方正小标宋_GBK" w:hAnsi="宋体" w:eastAsia="方正小标宋_GBK"/>
          <w:color w:val="auto"/>
          <w:sz w:val="44"/>
          <w:szCs w:val="44"/>
          <w:highlight w:val="none"/>
        </w:rPr>
        <w:t>年度部门决算公开说明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方正小标宋_GBK" w:hAnsi="宋体" w:eastAsia="方正小标宋_GBK"/>
          <w:color w:val="auto"/>
          <w:sz w:val="44"/>
          <w:szCs w:val="44"/>
          <w:highlight w:val="none"/>
        </w:rPr>
        <w:br w:type="page"/>
      </w: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、一般公共预算</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八、政府性基金预算财政拨款收入支出决算情况说明</w:t>
      </w:r>
      <w:r>
        <w:rPr>
          <w:rFonts w:hint="eastAsia" w:ascii="仿宋_GB2312" w:hAnsi="仿宋_GB2312" w:eastAsia="仿宋_GB2312" w:cs="仿宋_GB2312"/>
          <w:sz w:val="32"/>
          <w:szCs w:val="32"/>
          <w:highlight w:val="none"/>
        </w:rPr>
        <w:fldChar w:fldCharType="end"/>
      </w:r>
    </w:p>
    <w:p>
      <w:pPr>
        <w:rPr>
          <w:rFonts w:hint="eastAsia"/>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九、国有资本经营预算财政拨款收入支出决算情况说明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十一、预算绩效的情况说明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七、《一般公共预算财政拨款“三公”经费支出决算表》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rPr>
        <w:t>八、《政府性基金预算财政拨款收入支出决算表》</w:t>
      </w:r>
      <w:r>
        <w:rPr>
          <w:rFonts w:hint="eastAsia" w:ascii="仿宋_GB2312" w:hAnsi="仿宋_GB2312" w:eastAsia="仿宋_GB2312" w:cs="仿宋_GB2312"/>
          <w:bCs/>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eastAsia="zh-CN"/>
        </w:rPr>
        <w:t>九、《国有资本经营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bookmarkStart w:id="0" w:name="_Toc24028"/>
      <w:bookmarkStart w:id="1" w:name="_Toc32314"/>
      <w:r>
        <w:rPr>
          <w:rFonts w:hint="eastAsia" w:ascii="黑体" w:hAnsi="黑体" w:eastAsia="黑体"/>
          <w:color w:val="auto"/>
          <w:sz w:val="32"/>
          <w:szCs w:val="32"/>
          <w:highlight w:val="none"/>
        </w:rPr>
        <w:t>第一部分 部门单位概况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中共特克斯县政法委办公室是主要职责：（一）根据党的路线、方针、政策和县委及上级业务部门的 部署，统一政法各部门的思想和行动。（二）对一定时期的政法工作作出全局性部署，并督促贯彻落实。（三）组织协调指导维护社会稳定工作，及时向县委提供决 策性依据。（四）检查政法部门执行法律法规和党的方针政策的情况，结合实际，研究制定严肃执法、落实党的方针政策的具体措施。（五）大力支持和严格监督政法各部门依法行使职权指导和协调政法各部门在依法相互制约的同时，密切配合、督促、推动大案要案的查处工作，研究，协调有争议的重大疑难案件。（六）组织协调社会治安综合治理工作，推动各项措施的落实。（七）组织推动政法战线的调查研究工作，总结新经验，解决新问题，探索政法工作改革，改革进一步加强政法工作。（八）研究加强政法队伍建设和领导班子建设的措施，协助党委及其组织部门考察、管理政法部门的领导干部。（九）承办特克斯县委交办的其他任务，指导下级政法部门的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新疆伊犁州中共特克斯县委员会政法委员会2021年度，实有人数57人，其中：在职人员49人，离休人员0人，退休人员8人。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从部门决算单位构成看，新疆伊犁州中共特克斯县委员会政法委员会部门决算包括：新疆伊犁州中共特克斯县委员会政法委员会部门本级决算及所属单位决算。</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新疆伊犁州中共特克斯县委员会政法委员会本级下设6个处室，分别是：综合治理办公室、综合督导科（专项行动办公室）、ww督导科、流动人口办、网格化管理办公室、法学会。</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纳入新疆伊犁州中共特克斯县委员会政法委员会2021年度部门决算编制范围的单位名单见下表：</w:t>
      </w:r>
    </w:p>
    <w:tbl>
      <w:tblPr>
        <w:tblStyle w:val="8"/>
        <w:tblpPr w:leftFromText="180" w:rightFromText="180" w:vertAnchor="text" w:horzAnchor="page" w:tblpX="400" w:tblpY="76"/>
        <w:tblOverlap w:val="never"/>
        <w:tblW w:w="646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5595"/>
        <w:gridCol w:w="4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401" w:type="pct"/>
            <w:noWrap w:val="0"/>
            <w:vAlign w:val="center"/>
          </w:tcPr>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仿宋_GB2312" w:eastAsia="仿宋_GB2312"/>
                <w:color w:val="auto"/>
                <w:sz w:val="32"/>
                <w:szCs w:val="32"/>
                <w:highlight w:val="none"/>
                <w:lang w:val="en-US" w:eastAsia="zh-CN"/>
              </w:rPr>
            </w:pPr>
            <w:bookmarkStart w:id="6" w:name="_Toc29374"/>
            <w:bookmarkStart w:id="7" w:name="_Toc3092"/>
            <w:r>
              <w:rPr>
                <w:rFonts w:hint="eastAsia" w:ascii="仿宋_GB2312" w:eastAsia="仿宋_GB2312"/>
                <w:color w:val="auto"/>
                <w:sz w:val="32"/>
                <w:szCs w:val="32"/>
                <w:highlight w:val="none"/>
                <w:lang w:val="en-US" w:eastAsia="zh-CN"/>
              </w:rPr>
              <w:t>序号</w:t>
            </w:r>
          </w:p>
          <w:p>
            <w:pPr>
              <w:keepNext w:val="0"/>
              <w:keepLines w:val="0"/>
              <w:pageBreakBefore w:val="0"/>
              <w:widowControl w:val="0"/>
              <w:kinsoku/>
              <w:wordWrap/>
              <w:overflowPunct/>
              <w:topLinePunct w:val="0"/>
              <w:bidi w:val="0"/>
              <w:adjustRightInd/>
              <w:snapToGrid/>
              <w:spacing w:line="240" w:lineRule="auto"/>
              <w:jc w:val="left"/>
              <w:textAlignment w:val="auto"/>
              <w:rPr>
                <w:rFonts w:hint="default" w:ascii="仿宋_GB2312" w:eastAsia="仿宋_GB2312"/>
                <w:sz w:val="32"/>
                <w:szCs w:val="32"/>
                <w:highlight w:val="none"/>
                <w:lang w:val="en-US" w:eastAsia="zh-CN"/>
              </w:rPr>
            </w:pPr>
          </w:p>
        </w:tc>
        <w:tc>
          <w:tcPr>
            <w:tcW w:w="2538" w:type="pct"/>
            <w:noWrap w:val="0"/>
            <w:vAlign w:val="top"/>
          </w:tcPr>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单位名称</w:t>
            </w: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仿宋_GB2312" w:eastAsia="仿宋_GB2312"/>
                <w:sz w:val="32"/>
                <w:szCs w:val="32"/>
                <w:highlight w:val="none"/>
                <w:lang w:val="en-US" w:eastAsia="zh-CN"/>
              </w:rPr>
            </w:pPr>
          </w:p>
        </w:tc>
        <w:tc>
          <w:tcPr>
            <w:tcW w:w="2060" w:type="pct"/>
            <w:noWrap w:val="0"/>
            <w:vAlign w:val="top"/>
          </w:tcPr>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单位性质</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仿宋_GB2312" w:eastAsia="仿宋_GB2312"/>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exact"/>
        </w:trPr>
        <w:tc>
          <w:tcPr>
            <w:tcW w:w="401" w:type="pct"/>
            <w:noWrap w:val="0"/>
            <w:vAlign w:val="center"/>
          </w:tcPr>
          <w:p>
            <w:pPr>
              <w:keepNext w:val="0"/>
              <w:keepLines w:val="0"/>
              <w:pageBreakBefore w:val="0"/>
              <w:widowControl w:val="0"/>
              <w:kinsoku/>
              <w:wordWrap/>
              <w:overflowPunct/>
              <w:topLinePunct w:val="0"/>
              <w:bidi w:val="0"/>
              <w:adjustRightInd/>
              <w:snapToGrid/>
              <w:spacing w:line="240" w:lineRule="auto"/>
              <w:jc w:val="left"/>
              <w:textAlignment w:val="auto"/>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1</w:t>
            </w:r>
          </w:p>
        </w:tc>
        <w:tc>
          <w:tcPr>
            <w:tcW w:w="2538" w:type="pct"/>
            <w:noWrap w:val="0"/>
            <w:vAlign w:val="top"/>
          </w:tcPr>
          <w:p>
            <w:pPr>
              <w:keepNext w:val="0"/>
              <w:keepLines w:val="0"/>
              <w:pageBreakBefore w:val="0"/>
              <w:widowControl w:val="0"/>
              <w:kinsoku/>
              <w:wordWrap/>
              <w:overflowPunct/>
              <w:topLinePunct w:val="0"/>
              <w:bidi w:val="0"/>
              <w:adjustRightInd/>
              <w:snapToGrid/>
              <w:spacing w:line="240" w:lineRule="auto"/>
              <w:jc w:val="lef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中共特克斯县委员会政法委员会</w:t>
            </w:r>
          </w:p>
        </w:tc>
        <w:tc>
          <w:tcPr>
            <w:tcW w:w="2060" w:type="pct"/>
            <w:noWrap w:val="0"/>
            <w:vAlign w:val="top"/>
          </w:tcPr>
          <w:p>
            <w:pPr>
              <w:keepNext w:val="0"/>
              <w:keepLines w:val="0"/>
              <w:pageBreakBefore w:val="0"/>
              <w:widowControl w:val="0"/>
              <w:kinsoku/>
              <w:wordWrap/>
              <w:overflowPunct/>
              <w:topLinePunct w:val="0"/>
              <w:bidi w:val="0"/>
              <w:adjustRightInd/>
              <w:snapToGrid/>
              <w:spacing w:line="240" w:lineRule="auto"/>
              <w:jc w:val="left"/>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行政单位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exact"/>
        </w:trPr>
        <w:tc>
          <w:tcPr>
            <w:tcW w:w="401" w:type="pct"/>
            <w:noWrap w:val="0"/>
            <w:vAlign w:val="center"/>
          </w:tcPr>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w:t>
            </w:r>
          </w:p>
          <w:p>
            <w:pPr>
              <w:keepNext w:val="0"/>
              <w:keepLines w:val="0"/>
              <w:pageBreakBefore w:val="0"/>
              <w:widowControl w:val="0"/>
              <w:kinsoku/>
              <w:wordWrap/>
              <w:overflowPunct/>
              <w:topLinePunct w:val="0"/>
              <w:bidi w:val="0"/>
              <w:adjustRightInd/>
              <w:snapToGrid/>
              <w:spacing w:line="240" w:lineRule="auto"/>
              <w:jc w:val="left"/>
              <w:textAlignment w:val="auto"/>
              <w:rPr>
                <w:rFonts w:hint="default" w:ascii="仿宋_GB2312" w:eastAsia="仿宋_GB2312"/>
                <w:sz w:val="32"/>
                <w:szCs w:val="32"/>
                <w:highlight w:val="none"/>
                <w:lang w:val="en-US" w:eastAsia="zh-CN"/>
              </w:rPr>
            </w:pPr>
          </w:p>
        </w:tc>
        <w:tc>
          <w:tcPr>
            <w:tcW w:w="2538" w:type="pct"/>
            <w:noWrap w:val="0"/>
            <w:vAlign w:val="top"/>
          </w:tcPr>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中共特克斯县委员会网络安全和信息化委员会办公室</w:t>
            </w: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仿宋_GB2312" w:eastAsia="仿宋_GB2312"/>
                <w:sz w:val="32"/>
                <w:szCs w:val="32"/>
                <w:highlight w:val="none"/>
                <w:lang w:val="en-US" w:eastAsia="zh-CN"/>
              </w:rPr>
            </w:pPr>
          </w:p>
        </w:tc>
        <w:tc>
          <w:tcPr>
            <w:tcW w:w="2060" w:type="pct"/>
            <w:noWrap w:val="0"/>
            <w:vAlign w:val="top"/>
          </w:tcPr>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参照公务员法管理事业单位</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仿宋_GB2312" w:eastAsia="仿宋_GB2312"/>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401" w:type="pct"/>
            <w:noWrap w:val="0"/>
            <w:vAlign w:val="center"/>
          </w:tcPr>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w:t>
            </w:r>
          </w:p>
          <w:p>
            <w:pPr>
              <w:keepNext w:val="0"/>
              <w:keepLines w:val="0"/>
              <w:pageBreakBefore w:val="0"/>
              <w:widowControl w:val="0"/>
              <w:kinsoku/>
              <w:wordWrap/>
              <w:overflowPunct/>
              <w:topLinePunct w:val="0"/>
              <w:bidi w:val="0"/>
              <w:adjustRightInd/>
              <w:snapToGrid/>
              <w:spacing w:line="240" w:lineRule="auto"/>
              <w:jc w:val="left"/>
              <w:textAlignment w:val="auto"/>
              <w:rPr>
                <w:rFonts w:hint="default" w:ascii="仿宋_GB2312" w:eastAsia="仿宋_GB2312"/>
                <w:sz w:val="32"/>
                <w:szCs w:val="32"/>
                <w:highlight w:val="none"/>
                <w:lang w:val="en-US" w:eastAsia="zh-CN"/>
              </w:rPr>
            </w:pPr>
          </w:p>
        </w:tc>
        <w:tc>
          <w:tcPr>
            <w:tcW w:w="2538" w:type="pct"/>
            <w:noWrap w:val="0"/>
            <w:vAlign w:val="top"/>
          </w:tcPr>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ww指挥中心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仿宋_GB2312" w:eastAsia="仿宋_GB2312"/>
                <w:sz w:val="32"/>
                <w:szCs w:val="32"/>
                <w:highlight w:val="none"/>
                <w:lang w:val="en-US" w:eastAsia="zh-CN"/>
              </w:rPr>
            </w:pPr>
          </w:p>
        </w:tc>
        <w:tc>
          <w:tcPr>
            <w:tcW w:w="2060" w:type="pct"/>
            <w:noWrap w:val="0"/>
            <w:vAlign w:val="top"/>
          </w:tcPr>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参照公务员法管理事业单位</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仿宋_GB2312" w:eastAsia="仿宋_GB2312"/>
                <w:sz w:val="32"/>
                <w:szCs w:val="32"/>
                <w:highlight w:val="none"/>
              </w:rPr>
            </w:pPr>
          </w:p>
        </w:tc>
      </w:tr>
    </w:tbl>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left="1680" w:leftChars="0" w:firstLine="420" w:firstLineChars="0"/>
        <w:jc w:val="both"/>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第二部分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b w:val="0"/>
          <w:bCs w:val="0"/>
          <w:color w:val="auto"/>
          <w:sz w:val="32"/>
          <w:szCs w:val="32"/>
          <w:highlight w:val="none"/>
          <w:lang w:eastAsia="zh-CN"/>
        </w:rPr>
      </w:pPr>
      <w:r>
        <w:rPr>
          <w:rFonts w:hint="eastAsia" w:ascii="仿宋_GB2312" w:eastAsia="仿宋_GB2312"/>
          <w:b w:val="0"/>
          <w:bCs w:val="0"/>
          <w:color w:val="auto"/>
          <w:spacing w:val="0"/>
          <w:sz w:val="32"/>
          <w:szCs w:val="32"/>
          <w:highlight w:val="none"/>
          <w:lang w:val="en-US" w:eastAsia="zh-CN"/>
        </w:rPr>
        <w:t>2021年度本年收入929.73万元，与上年相比，减少4,775.76万元，降低83.70%</w:t>
      </w:r>
      <w:r>
        <w:rPr>
          <w:rFonts w:hint="eastAsia" w:ascii="仿宋_GB2312" w:eastAsia="仿宋_GB2312"/>
          <w:b w:val="0"/>
          <w:bCs w:val="0"/>
          <w:color w:val="auto"/>
          <w:sz w:val="32"/>
          <w:szCs w:val="32"/>
          <w:highlight w:val="none"/>
          <w:lang w:eastAsia="zh-CN"/>
        </w:rPr>
        <w:t>，主要原因是</w:t>
      </w:r>
      <w:r>
        <w:rPr>
          <w:rFonts w:hint="eastAsia" w:ascii="仿宋_GB2312" w:eastAsia="仿宋_GB2312"/>
          <w:b w:val="0"/>
          <w:bCs w:val="0"/>
          <w:color w:val="auto"/>
          <w:sz w:val="32"/>
          <w:szCs w:val="32"/>
          <w:highlight w:val="none"/>
        </w:rPr>
        <w:t>：</w:t>
      </w:r>
      <w:r>
        <w:rPr>
          <w:rFonts w:hint="eastAsia" w:ascii="仿宋_GB2312" w:eastAsia="仿宋_GB2312"/>
          <w:b w:val="0"/>
          <w:bCs w:val="0"/>
          <w:color w:val="auto"/>
          <w:sz w:val="32"/>
          <w:szCs w:val="32"/>
          <w:highlight w:val="none"/>
          <w:lang w:val="en-US" w:eastAsia="zh-CN"/>
        </w:rPr>
        <w:t>本年项目减少</w:t>
      </w:r>
      <w:r>
        <w:rPr>
          <w:rFonts w:hint="eastAsia" w:ascii="仿宋_GB2312" w:eastAsia="仿宋_GB2312"/>
          <w:b w:val="0"/>
          <w:bCs w:val="0"/>
          <w:color w:val="auto"/>
          <w:sz w:val="32"/>
          <w:szCs w:val="32"/>
          <w:highlight w:val="none"/>
          <w:lang w:eastAsia="zh-CN"/>
        </w:rPr>
        <w:t>。</w:t>
      </w:r>
      <w:r>
        <w:rPr>
          <w:rFonts w:hint="eastAsia" w:ascii="仿宋_GB2312" w:eastAsia="仿宋_GB2312"/>
          <w:b w:val="0"/>
          <w:bCs w:val="0"/>
          <w:color w:val="auto"/>
          <w:sz w:val="32"/>
          <w:szCs w:val="32"/>
          <w:highlight w:val="none"/>
          <w:lang w:val="en-US" w:eastAsia="zh-CN"/>
        </w:rPr>
        <w:t>本年支出929.73万元，与上年相比，减少4,775.76万元，降低83.70%</w:t>
      </w:r>
      <w:r>
        <w:rPr>
          <w:rFonts w:hint="eastAsia" w:ascii="仿宋_GB2312" w:eastAsia="仿宋_GB2312"/>
          <w:b w:val="0"/>
          <w:bCs w:val="0"/>
          <w:color w:val="auto"/>
          <w:sz w:val="32"/>
          <w:szCs w:val="32"/>
          <w:highlight w:val="none"/>
          <w:lang w:eastAsia="zh-CN"/>
        </w:rPr>
        <w:t>，主要原因是</w:t>
      </w:r>
      <w:r>
        <w:rPr>
          <w:rFonts w:hint="eastAsia" w:ascii="仿宋_GB2312" w:eastAsia="仿宋_GB2312"/>
          <w:b w:val="0"/>
          <w:bCs w:val="0"/>
          <w:color w:val="auto"/>
          <w:sz w:val="32"/>
          <w:szCs w:val="32"/>
          <w:highlight w:val="none"/>
        </w:rPr>
        <w:t>：</w:t>
      </w:r>
      <w:r>
        <w:rPr>
          <w:rFonts w:hint="eastAsia" w:ascii="仿宋_GB2312" w:eastAsia="仿宋_GB2312"/>
          <w:b w:val="0"/>
          <w:bCs w:val="0"/>
          <w:color w:val="auto"/>
          <w:sz w:val="32"/>
          <w:szCs w:val="32"/>
          <w:highlight w:val="none"/>
          <w:lang w:val="en-US" w:eastAsia="zh-CN"/>
        </w:rPr>
        <w:t>本年项目减少</w:t>
      </w:r>
      <w:r>
        <w:rPr>
          <w:rFonts w:hint="eastAsia" w:ascii="仿宋_GB2312" w:eastAsia="仿宋_GB2312"/>
          <w:b w:val="0"/>
          <w:bCs w:val="0"/>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2021年度本年收入929.73万元，其中：财政拨款收入929.73万元，占100.00%；上级补助收入0.00万元，占0.00%；事业收入0.00万元，占0.00%；经营收入0.00万元，占0.00%；附属单位上缴收入0.00万元，占0.00%；其他收入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pacing w:val="0"/>
          <w:sz w:val="32"/>
          <w:szCs w:val="32"/>
          <w:highlight w:val="none"/>
          <w:lang w:val="en-US" w:eastAsia="zh-CN"/>
        </w:rPr>
        <w:t>2021年度本年支出929.73万元，其中：基本支出929.73万元，占100.00%；项目支出0.00万元，占0.00%；上缴上级支出0.00万元，占0.00%；经营支出0.00万元，占0.00%；对附属单位补助支出0.00万元，占0.00%。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2021年度财政拨款收入929.73万元，与上年相比，减少4,775.76万元，降低83.70%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rPr>
        <w:t>：</w:t>
      </w:r>
      <w:r>
        <w:rPr>
          <w:rFonts w:hint="eastAsia" w:ascii="仿宋_GB2312" w:eastAsia="仿宋_GB2312"/>
          <w:b w:val="0"/>
          <w:bCs w:val="0"/>
          <w:color w:val="auto"/>
          <w:sz w:val="32"/>
          <w:szCs w:val="32"/>
          <w:highlight w:val="none"/>
          <w:lang w:val="en-US" w:eastAsia="zh-CN"/>
        </w:rPr>
        <w:t>本年项目减少</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财政拨款支出929.73万元，与上年相比，减少4,775.76万元，降低83.70%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rPr>
        <w:t>：</w:t>
      </w:r>
      <w:r>
        <w:rPr>
          <w:rFonts w:hint="eastAsia" w:ascii="仿宋_GB2312" w:eastAsia="仿宋_GB2312"/>
          <w:b w:val="0"/>
          <w:bCs w:val="0"/>
          <w:color w:val="auto"/>
          <w:sz w:val="32"/>
          <w:szCs w:val="32"/>
          <w:highlight w:val="none"/>
          <w:lang w:val="en-US" w:eastAsia="zh-CN"/>
        </w:rPr>
        <w:t>本年项目减少</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与年初预算数相比情况：财政拨款收入年初预算数412.49万元，决算数929.73万元，预决算差异率125.39%</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在2021年新增加一个部门，人员变动增加工资及人员经费和公用工作经费也增加。社保基数、住房公积金基数调整</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财政拨款支出年初预算数412.49万元，决算数929.73万元，预决算差异率125.39%</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在2021年新增加一个部门，人员变动增加工资及人员经费和公用工作经费也增加。社保基数、住房公积金基数调整</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2021年度一般公共预算财政拨款支出929.73万元。按功能分类科目项级科目公开，其中：</w:t>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2013601 行政运行363.23万元;</w:t>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2013699 其他共产党事务支出302.13万元;</w:t>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2013701 行政运行145.07万元;</w:t>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2049902 国家司法救助支出8.50万元;</w:t>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2080505 机关事业单位基本养老保险缴费支出46.32万元;</w:t>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2101101 行政单位医疗18.84万元;</w:t>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2101102 事业单位医疗2.41万元;</w:t>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2101103 公务员医疗补助3.31万元;</w:t>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2101199 其他行政事业单位医疗支出1.12万元;</w:t>
      </w:r>
    </w:p>
    <w:p>
      <w:pPr>
        <w:keepNext w:val="0"/>
        <w:keepLines w:val="0"/>
        <w:pageBreakBefore w:val="0"/>
        <w:widowControl w:val="0"/>
        <w:kinsoku/>
        <w:wordWrap/>
        <w:overflowPunct/>
        <w:topLinePunct w:val="0"/>
        <w:bidi w:val="0"/>
        <w:adjustRightInd/>
        <w:snapToGrid/>
        <w:spacing w:line="240" w:lineRule="auto"/>
        <w:textAlignment w:val="auto"/>
        <w:rPr>
          <w:rFonts w:hint="default" w:ascii="仿宋_GB2312" w:eastAsia="仿宋_GB2312"/>
          <w:b/>
          <w:bCs/>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2210201 住房公积金38.80万元</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30870"/>
      <w:bookmarkStart w:id="19" w:name="_Toc11146"/>
      <w:r>
        <w:rPr>
          <w:rFonts w:hint="eastAsia" w:ascii="黑体" w:hAnsi="黑体" w:eastAsia="黑体" w:cs="宋体"/>
          <w:bCs/>
          <w:color w:val="auto"/>
          <w:kern w:val="0"/>
          <w:sz w:val="32"/>
          <w:szCs w:val="32"/>
          <w:highlight w:val="none"/>
          <w:lang w:eastAsia="zh-CN"/>
        </w:rPr>
        <w:t>六、一般公共预算财政拨款基本支出决算情况说明</w:t>
      </w:r>
      <w:bookmarkEnd w:id="18"/>
      <w:bookmarkEnd w:id="1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2021年度一般公共预算财政拨款基本支出929.73万元，其中：</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人员经费652.74万元，包括：基本工资、津贴补贴、奖金、绩效工资、机关事业单位基本养老保险缴费、职工基本医疗保险缴费、公务员医疗补助缴费、其他社会保障缴费、住房公积金、退休费、生活补助、奖励金。</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公用经费276.99万元，包括：办公费、印刷费、邮电费、差旅费、工会经费、公务用车运行维护费、办公设备购置。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7190"/>
      <w:bookmarkStart w:id="21" w:name="_Toc21518"/>
      <w:r>
        <w:rPr>
          <w:rFonts w:hint="eastAsia" w:ascii="黑体" w:hAnsi="黑体" w:eastAsia="黑体" w:cs="宋体"/>
          <w:bCs/>
          <w:color w:val="auto"/>
          <w:kern w:val="0"/>
          <w:sz w:val="32"/>
          <w:szCs w:val="32"/>
          <w:highlight w:val="none"/>
          <w:lang w:eastAsia="zh-CN"/>
        </w:rPr>
        <w:t>七</w:t>
      </w:r>
      <w:r>
        <w:rPr>
          <w:rFonts w:hint="eastAsia" w:ascii="黑体" w:hAnsi="黑体" w:eastAsia="黑体" w:cs="宋体"/>
          <w:bCs/>
          <w:color w:val="auto"/>
          <w:kern w:val="0"/>
          <w:sz w:val="32"/>
          <w:szCs w:val="32"/>
          <w:highlight w:val="none"/>
        </w:rPr>
        <w:t>、一般公共预算</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2021年度一般公共预算“三公”经费支出决算6.90万元，比上年减少4.00万元，降低36.70%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2021年压缩了三公经费</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其中，因公出国（境）费支出0.00万元，占0.00%，比上年增加0.00万元，增长0.00%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本单位无因公出国（境）费预算安排</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公务用车购置及运行维护费支出6.90万元，占100%，比上年减少4.00万元，降低36.70%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2021年压缩了三公经费</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公务接待费支出0.00万元，占0%，比上年增加0.00万元，增长0.00%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本单位无公务接待费预算安排</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因公出国（境）费支出0.00万元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开支内容包括：</w:t>
      </w:r>
      <w:r>
        <w:rPr>
          <w:rFonts w:hint="eastAsia" w:ascii="仿宋_GB2312" w:eastAsia="仿宋_GB2312"/>
          <w:color w:val="auto"/>
          <w:sz w:val="32"/>
          <w:szCs w:val="32"/>
          <w:highlight w:val="none"/>
          <w:lang w:val="en-US" w:eastAsia="zh-CN"/>
        </w:rPr>
        <w:t>本单位无因公出国（境）费预算安排</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公务用车购置及运行维护费6.90万元，其中，公务用车购置费0.00万元，公务用车运行维护费6.90万元。</w:t>
      </w:r>
      <w:r>
        <w:rPr>
          <w:rFonts w:hint="eastAsia" w:ascii="仿宋_GB2312" w:eastAsia="仿宋_GB2312"/>
          <w:color w:val="auto"/>
          <w:sz w:val="32"/>
          <w:szCs w:val="32"/>
          <w:highlight w:val="none"/>
        </w:rPr>
        <w:t>公务用车运行维护费开支内容包括</w:t>
      </w:r>
      <w:r>
        <w:rPr>
          <w:rFonts w:hint="eastAsia" w:ascii="仿宋_GB2312" w:eastAsia="仿宋_GB2312"/>
          <w:color w:val="auto"/>
          <w:sz w:val="32"/>
          <w:szCs w:val="32"/>
          <w:highlight w:val="none"/>
          <w:lang w:val="en-US" w:eastAsia="zh-CN"/>
        </w:rPr>
        <w:t>政法委及下属核算单位用于车辆维修与保养、车辆加油、车辆保险、车辆过桥、过路费用等</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公务用车购置数0辆，公务用车保有量13辆。</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公务接待费0.00万元</w:t>
      </w:r>
      <w:r>
        <w:rPr>
          <w:rFonts w:hint="eastAsia" w:ascii="仿宋_GB2312" w:eastAsia="仿宋_GB2312"/>
          <w:color w:val="auto"/>
          <w:sz w:val="32"/>
          <w:szCs w:val="32"/>
          <w:highlight w:val="none"/>
        </w:rPr>
        <w:t>，开支内容包括</w:t>
      </w:r>
      <w:r>
        <w:rPr>
          <w:rFonts w:hint="eastAsia" w:ascii="仿宋_GB2312" w:eastAsia="仿宋_GB2312"/>
          <w:color w:val="auto"/>
          <w:sz w:val="32"/>
          <w:szCs w:val="32"/>
          <w:highlight w:val="none"/>
          <w:lang w:val="en-US" w:eastAsia="zh-CN"/>
        </w:rPr>
        <w:t>本单位无公务接待费预算安排</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与年初预算数相比情况：一般公共预算“三公”经费支出年初预算数6.90万元，决算数6.90万元，预决算差异率0.00%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厉行节约，压缩使用三公经费，落实过紧日子要求</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其中：因公出国（境）费预算数0.00万元，决算数0.00万元，预决算差异率0.00%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本单位无因公出国（境）费预算安排</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公务用车购置费预算数0.00万元，决算数0.00万元，预决算差异率0.00%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本单位无公务用车购置预算安排</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公务用车运行费预算数6.90万元，决算数6.90万元，预决算差异率0.00%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厉行节约，压缩使用三公经费，落实过紧日子要求</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公务接待费预算数0.00万元，决算数0.00万元，预决算差异率0.00%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本单位无公务接待费预算安排</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2" w:name="_Toc7927"/>
      <w:bookmarkStart w:id="23" w:name="_Toc5810"/>
      <w:r>
        <w:rPr>
          <w:rFonts w:hint="eastAsia" w:ascii="黑体" w:hAnsi="黑体" w:eastAsia="黑体" w:cs="宋体"/>
          <w:bCs/>
          <w:color w:val="auto"/>
          <w:kern w:val="0"/>
          <w:sz w:val="32"/>
          <w:szCs w:val="32"/>
          <w:highlight w:val="none"/>
          <w:lang w:eastAsia="zh-CN"/>
        </w:rPr>
        <w:t>八、政府性基金预算收入支出决算情况说明</w:t>
      </w:r>
      <w:bookmarkEnd w:id="22"/>
      <w:bookmarkEnd w:id="23"/>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我单位本年度无政府性基金预算财政拨款收入支出，政府性基金预算财政拨款收入支出决算表为空表。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我单位本年度无国有资本经营预算财政拨款收入支出，国有资本经营预算财政拨款收入支出决算表为空表。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4" w:name="_Toc1235"/>
      <w:bookmarkStart w:id="25" w:name="_Toc7314"/>
      <w:r>
        <w:rPr>
          <w:rFonts w:hint="eastAsia" w:ascii="黑体" w:hAnsi="黑体" w:eastAsia="黑体" w:cs="宋体"/>
          <w:bCs/>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rPr>
      </w:pPr>
      <w:bookmarkStart w:id="26" w:name="_Toc13105"/>
      <w:bookmarkStart w:id="27"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6"/>
      <w:bookmarkEnd w:id="27"/>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2021年度新疆伊犁州中共特克斯县委员会政法委员会（行政单位和参照公务员法管理事业单位）机关运行经费支出276.99万元，比上年增加72.91万元，增长35.73%</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本年办公费、印刷费、邮电费、差旅费、工会经费等费用增加</w:t>
      </w:r>
      <w:bookmarkStart w:id="54" w:name="_GoBack"/>
      <w:bookmarkEnd w:id="54"/>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lang w:eastAsia="zh-CN"/>
        </w:rPr>
      </w:pPr>
      <w:bookmarkStart w:id="28" w:name="_Toc227"/>
      <w:bookmarkStart w:id="29" w:name="_Toc26704"/>
      <w:r>
        <w:rPr>
          <w:rFonts w:hint="eastAsia" w:ascii="黑体" w:hAnsi="黑体" w:eastAsia="黑体"/>
          <w:color w:val="auto"/>
          <w:sz w:val="32"/>
          <w:szCs w:val="32"/>
          <w:highlight w:val="none"/>
          <w:lang w:eastAsia="zh-CN"/>
        </w:rPr>
        <w:t>（二）政府采购情况</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2021年度政府采购支出总额0.20万元，其中：政府采购货物支出0.20万元、政府采购工程支出0.00万元、政府采购服务支出0.00万元。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bookmarkStart w:id="30" w:name="_Toc4591"/>
      <w:bookmarkStart w:id="31" w:name="_Toc8391"/>
      <w:r>
        <w:rPr>
          <w:rFonts w:hint="eastAsia" w:ascii="仿宋_GB2312" w:eastAsia="仿宋_GB2312"/>
          <w:color w:val="auto"/>
          <w:spacing w:val="0"/>
          <w:sz w:val="32"/>
          <w:szCs w:val="32"/>
          <w:highlight w:val="none"/>
          <w:lang w:val="en-US" w:eastAsia="zh-CN"/>
        </w:rPr>
        <w:t>授予中小企业合同金额0.00万元，占政府采购支出总额的0%，其中：授予小微企业合同金额0.00万元，占政府采购支出总额的0.00%。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（三）国有资产占用情况说明</w:t>
      </w:r>
      <w:bookmarkEnd w:id="30"/>
      <w:bookmarkEnd w:id="3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截止2021年12月31日，单位共有房屋0.00（平方米），价值0.00万元。车辆12辆，价值80.61万元，其中：副部（省）级及以上领导用车0辆、主要领导干部用车2辆、机要通信用车0辆、应急保障用车0辆、执法执勤用车10辆、特种专业技术用车0辆、离退休干部用车0辆、其他用车0辆</w:t>
      </w:r>
      <w:r>
        <w:rPr>
          <w:rFonts w:hint="eastAsia" w:ascii="仿宋_GB2312" w:eastAsia="仿宋_GB2312"/>
          <w:color w:val="auto"/>
          <w:sz w:val="32"/>
          <w:szCs w:val="32"/>
          <w:highlight w:val="none"/>
        </w:rPr>
        <w:t>，其他用车主要是：</w:t>
      </w:r>
      <w:r>
        <w:rPr>
          <w:rFonts w:hint="eastAsia" w:ascii="仿宋_GB2312" w:eastAsia="仿宋_GB2312"/>
          <w:color w:val="auto"/>
          <w:sz w:val="32"/>
          <w:szCs w:val="32"/>
          <w:highlight w:val="none"/>
          <w:lang w:val="en-US" w:eastAsia="zh-CN"/>
        </w:rPr>
        <w:t>一般公务用车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单位价值50万元以上通用设备0台（套）、单位价值100万元以上专用设备0台（套）。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32" w:name="_Toc435"/>
      <w:bookmarkStart w:id="33" w:name="_Toc11283"/>
      <w:r>
        <w:rPr>
          <w:rFonts w:hint="eastAsia" w:ascii="黑体" w:hAnsi="黑体" w:eastAsia="黑体" w:cs="宋体"/>
          <w:bCs/>
          <w:kern w:val="0"/>
          <w:sz w:val="32"/>
          <w:szCs w:val="32"/>
          <w:highlight w:val="none"/>
          <w:lang w:eastAsia="zh-CN"/>
        </w:rPr>
        <w:t>十一</w:t>
      </w:r>
      <w:r>
        <w:rPr>
          <w:rFonts w:hint="eastAsia" w:ascii="黑体" w:hAnsi="黑体" w:eastAsia="黑体" w:cs="宋体"/>
          <w:bCs/>
          <w:color w:val="auto"/>
          <w:kern w:val="0"/>
          <w:sz w:val="32"/>
          <w:szCs w:val="32"/>
          <w:highlight w:val="none"/>
          <w:lang w:eastAsia="zh-CN"/>
        </w:rPr>
        <w:t>、预算绩效的情况说明</w:t>
      </w:r>
      <w:bookmarkEnd w:id="32"/>
      <w:bookmarkEnd w:id="33"/>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根据预算绩效管理要求，我单位</w:t>
      </w:r>
      <w:r>
        <w:rPr>
          <w:rFonts w:hint="eastAsia" w:ascii="仿宋_GB2312" w:eastAsia="仿宋_GB2312"/>
          <w:color w:val="auto"/>
          <w:sz w:val="32"/>
          <w:szCs w:val="32"/>
          <w:highlight w:val="none"/>
          <w:lang w:val="en-US" w:eastAsia="zh-CN"/>
        </w:rPr>
        <w:t>2021</w:t>
      </w:r>
      <w:r>
        <w:rPr>
          <w:rFonts w:hint="eastAsia" w:ascii="仿宋_GB2312" w:eastAsia="仿宋_GB2312"/>
          <w:color w:val="auto"/>
          <w:sz w:val="32"/>
          <w:szCs w:val="32"/>
          <w:highlight w:val="none"/>
          <w:lang w:eastAsia="zh-CN"/>
        </w:rPr>
        <w:t>年度开展预算绩效评价项目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个，共涉及资金</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highlight w:val="none"/>
          <w:lang w:val="en-US" w:eastAsia="zh-CN"/>
        </w:rPr>
        <w:t>本年度未安排预算绩效项目</w:t>
      </w:r>
      <w:r>
        <w:rPr>
          <w:rFonts w:hint="eastAsia" w:ascii="仿宋_GB2312" w:eastAsia="仿宋_GB2312"/>
          <w:color w:val="auto"/>
          <w:sz w:val="32"/>
          <w:szCs w:val="32"/>
          <w:highlight w:val="none"/>
          <w:lang w:eastAsia="zh-CN"/>
        </w:rPr>
        <w:t>。发现的问题及原因：</w:t>
      </w:r>
      <w:r>
        <w:rPr>
          <w:rFonts w:hint="eastAsia" w:ascii="仿宋_GB2312" w:eastAsia="仿宋_GB2312"/>
          <w:color w:val="auto"/>
          <w:sz w:val="32"/>
          <w:szCs w:val="32"/>
          <w:highlight w:val="none"/>
          <w:lang w:val="en-US" w:eastAsia="zh-CN"/>
        </w:rPr>
        <w:t>本年度未安排预算绩效项目</w:t>
      </w:r>
      <w:r>
        <w:rPr>
          <w:rFonts w:hint="eastAsia" w:ascii="仿宋_GB2312" w:eastAsia="仿宋_GB2312"/>
          <w:color w:val="auto"/>
          <w:sz w:val="32"/>
          <w:szCs w:val="32"/>
          <w:highlight w:val="none"/>
          <w:lang w:eastAsia="zh-CN"/>
        </w:rPr>
        <w:t>。下一步改进措施：</w:t>
      </w:r>
      <w:r>
        <w:rPr>
          <w:rFonts w:hint="eastAsia" w:ascii="仿宋_GB2312" w:eastAsia="仿宋_GB2312"/>
          <w:color w:val="auto"/>
          <w:sz w:val="32"/>
          <w:szCs w:val="32"/>
          <w:highlight w:val="none"/>
          <w:lang w:val="en-US" w:eastAsia="zh-CN"/>
        </w:rPr>
        <w:t>本年度未安排预算绩效项目</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项目自评情况附项目支出绩效自评表。</w:t>
      </w: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bookmarkStart w:id="34" w:name="_Toc3250"/>
      <w:bookmarkStart w:id="35" w:name="_Toc24143"/>
      <w:bookmarkStart w:id="36" w:name="_Toc22784"/>
      <w:bookmarkStart w:id="37" w:name="_Toc28903"/>
      <w:r>
        <w:rPr>
          <w:rFonts w:hint="eastAsia" w:ascii="黑体" w:hAnsi="黑体" w:eastAsia="黑体"/>
          <w:sz w:val="32"/>
          <w:szCs w:val="32"/>
          <w:highlight w:val="none"/>
        </w:rPr>
        <w:t>第三部分 专业名词解释</w:t>
      </w:r>
      <w:bookmarkEnd w:id="34"/>
      <w:bookmarkEnd w:id="35"/>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年初</w:t>
      </w:r>
      <w:r>
        <w:rPr>
          <w:rFonts w:hint="eastAsia" w:ascii="仿宋_GB2312" w:eastAsia="仿宋_GB2312"/>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“三公”经费：指用一般公共预算财政拨款安排的因公出国（境）费、公务用车购置及运行费和公务接待费。其中，因公出国（境）费反映单位公务出国（境）的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杂费等支出；公务用车购置费</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eastAsia="仿宋_GB2312"/>
          <w:sz w:val="32"/>
          <w:szCs w:val="32"/>
          <w:highlight w:val="none"/>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第四部分 部门决算报表（见附表）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8" w:name="_Toc6062"/>
      <w:bookmarkStart w:id="39" w:name="_Toc2183"/>
      <w:r>
        <w:rPr>
          <w:rFonts w:hint="eastAsia" w:ascii="黑体" w:hAnsi="黑体" w:eastAsia="黑体" w:cs="宋体"/>
          <w:bCs/>
          <w:kern w:val="0"/>
          <w:sz w:val="32"/>
          <w:szCs w:val="32"/>
          <w:highlight w:val="none"/>
        </w:rPr>
        <w:t>一、《收入支出决算总表》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0" w:name="_Toc24532"/>
      <w:bookmarkStart w:id="41" w:name="_Toc30364"/>
      <w:r>
        <w:rPr>
          <w:rFonts w:hint="eastAsia" w:ascii="黑体" w:hAnsi="黑体" w:eastAsia="黑体" w:cs="宋体"/>
          <w:bCs/>
          <w:kern w:val="0"/>
          <w:sz w:val="32"/>
          <w:szCs w:val="32"/>
          <w:highlight w:val="none"/>
        </w:rPr>
        <w:t>二、《收入决算表》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2" w:name="_Toc32434"/>
      <w:bookmarkStart w:id="43" w:name="_Toc21304"/>
      <w:r>
        <w:rPr>
          <w:rFonts w:hint="eastAsia" w:ascii="黑体" w:hAnsi="黑体" w:eastAsia="黑体" w:cs="宋体"/>
          <w:bCs/>
          <w:kern w:val="0"/>
          <w:sz w:val="32"/>
          <w:szCs w:val="32"/>
          <w:highlight w:val="none"/>
        </w:rPr>
        <w:t>三、《支出决算表》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4" w:name="_Toc28786"/>
      <w:bookmarkStart w:id="45" w:name="_Toc14238"/>
      <w:r>
        <w:rPr>
          <w:rFonts w:hint="eastAsia" w:ascii="黑体" w:hAnsi="黑体" w:eastAsia="黑体" w:cs="宋体"/>
          <w:bCs/>
          <w:kern w:val="0"/>
          <w:sz w:val="32"/>
          <w:szCs w:val="32"/>
          <w:highlight w:val="none"/>
        </w:rPr>
        <w:t>四、《财政拨款收入支出决算总表》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6" w:name="_Toc14869"/>
      <w:bookmarkStart w:id="47" w:name="_Toc10347"/>
      <w:r>
        <w:rPr>
          <w:rFonts w:hint="eastAsia" w:ascii="黑体" w:hAnsi="黑体" w:eastAsia="黑体" w:cs="宋体"/>
          <w:bCs/>
          <w:kern w:val="0"/>
          <w:sz w:val="32"/>
          <w:szCs w:val="32"/>
          <w:highlight w:val="none"/>
        </w:rPr>
        <w:t>五、《一般公共预算财政拨款支出决算表》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8" w:name="_Toc8884"/>
      <w:bookmarkStart w:id="49" w:name="_Toc5626"/>
      <w:r>
        <w:rPr>
          <w:rFonts w:hint="eastAsia" w:ascii="黑体" w:hAnsi="黑体" w:eastAsia="黑体" w:cs="宋体"/>
          <w:bCs/>
          <w:kern w:val="0"/>
          <w:sz w:val="32"/>
          <w:szCs w:val="32"/>
          <w:highlight w:val="none"/>
        </w:rPr>
        <w:t>六、《一般公共预算财政拨款基本支出决算表》</w:t>
      </w:r>
      <w:bookmarkEnd w:id="48"/>
      <w:bookmarkEnd w:id="4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50" w:name="_Toc29106"/>
      <w:bookmarkStart w:id="51" w:name="_Toc32663"/>
      <w:r>
        <w:rPr>
          <w:rFonts w:hint="eastAsia" w:ascii="黑体" w:hAnsi="黑体" w:eastAsia="黑体" w:cs="宋体"/>
          <w:bCs/>
          <w:kern w:val="0"/>
          <w:sz w:val="32"/>
          <w:szCs w:val="32"/>
          <w:highlight w:val="none"/>
        </w:rPr>
        <w:t>七、《一般公共预算财政拨款“三公”经费支出决算表》</w:t>
      </w:r>
      <w:bookmarkEnd w:id="50"/>
      <w:bookmarkEnd w:id="5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52" w:name="_Toc7643"/>
      <w:bookmarkStart w:id="53" w:name="_Toc5453"/>
      <w:r>
        <w:rPr>
          <w:rFonts w:hint="eastAsia" w:ascii="黑体" w:hAnsi="黑体" w:eastAsia="黑体" w:cs="宋体"/>
          <w:bCs/>
          <w:kern w:val="0"/>
          <w:sz w:val="32"/>
          <w:szCs w:val="32"/>
          <w:highlight w:val="none"/>
        </w:rPr>
        <w:t>八、《政府性基金预算财政拨款收入支出决算表》</w:t>
      </w:r>
      <w:bookmarkEnd w:id="52"/>
      <w:bookmarkEnd w:id="5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kern w:val="0"/>
          <w:sz w:val="32"/>
          <w:szCs w:val="32"/>
          <w:highlight w:val="none"/>
          <w:lang w:eastAsia="zh-CN"/>
        </w:rPr>
        <w:t>九</w:t>
      </w:r>
      <w:r>
        <w:rPr>
          <w:rFonts w:hint="eastAsia" w:ascii="黑体" w:hAnsi="黑体" w:eastAsia="黑体" w:cs="宋体"/>
          <w:bCs/>
          <w:kern w:val="0"/>
          <w:sz w:val="32"/>
          <w:szCs w:val="32"/>
          <w:highlight w:val="none"/>
        </w:rPr>
        <w:t>、《</w:t>
      </w:r>
      <w:r>
        <w:rPr>
          <w:rFonts w:hint="eastAsia" w:ascii="黑体" w:hAnsi="黑体" w:eastAsia="黑体" w:cs="宋体"/>
          <w:bCs/>
          <w:kern w:val="0"/>
          <w:sz w:val="32"/>
          <w:szCs w:val="32"/>
          <w:highlight w:val="none"/>
          <w:lang w:eastAsia="zh-CN"/>
        </w:rPr>
        <w:t>国有资本经营</w:t>
      </w:r>
      <w:r>
        <w:rPr>
          <w:rFonts w:hint="eastAsia" w:ascii="黑体" w:hAnsi="黑体" w:eastAsia="黑体" w:cs="宋体"/>
          <w:bCs/>
          <w:kern w:val="0"/>
          <w:sz w:val="32"/>
          <w:szCs w:val="32"/>
          <w:highlight w:val="none"/>
        </w:rPr>
        <w:t>预算财政拨款收入支出决算表》</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Dd/Ew/XAQAAsAMAAA4AAAAAAAAAAQAgAAAA&#10;HgEAAGRycy9lMm9Eb2MueG1sUEsFBgAAAAAGAAYAWQEAAGc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jOTdiM2IzMjQ5YzJhOTNmMzc5N2M3ZjNmMzc0YTUifQ=="/>
  </w:docVars>
  <w:rsids>
    <w:rsidRoot w:val="00000000"/>
    <w:rsid w:val="0088352D"/>
    <w:rsid w:val="0131169A"/>
    <w:rsid w:val="01734C27"/>
    <w:rsid w:val="01DD6073"/>
    <w:rsid w:val="02014C29"/>
    <w:rsid w:val="02890C73"/>
    <w:rsid w:val="04044ED1"/>
    <w:rsid w:val="041C5E18"/>
    <w:rsid w:val="04AA63C1"/>
    <w:rsid w:val="04EE377F"/>
    <w:rsid w:val="051C631E"/>
    <w:rsid w:val="0562142B"/>
    <w:rsid w:val="06792773"/>
    <w:rsid w:val="074F280E"/>
    <w:rsid w:val="075B1482"/>
    <w:rsid w:val="075F768F"/>
    <w:rsid w:val="07BA7C7F"/>
    <w:rsid w:val="07C3443C"/>
    <w:rsid w:val="08476613"/>
    <w:rsid w:val="084876D1"/>
    <w:rsid w:val="09026D66"/>
    <w:rsid w:val="090B11F4"/>
    <w:rsid w:val="0A2E4EB6"/>
    <w:rsid w:val="0A611FB0"/>
    <w:rsid w:val="0A6D05E4"/>
    <w:rsid w:val="0AC520F0"/>
    <w:rsid w:val="0B21162A"/>
    <w:rsid w:val="0B557DD5"/>
    <w:rsid w:val="0BED1442"/>
    <w:rsid w:val="0C595DFB"/>
    <w:rsid w:val="0C7A5D15"/>
    <w:rsid w:val="0CD00AF9"/>
    <w:rsid w:val="0CFEBB4E"/>
    <w:rsid w:val="0D0A4F7E"/>
    <w:rsid w:val="0D0B27DC"/>
    <w:rsid w:val="0D7C3599"/>
    <w:rsid w:val="0E003458"/>
    <w:rsid w:val="0E1F036C"/>
    <w:rsid w:val="0EB33F18"/>
    <w:rsid w:val="0F1410FB"/>
    <w:rsid w:val="0F755469"/>
    <w:rsid w:val="0F923480"/>
    <w:rsid w:val="1056158D"/>
    <w:rsid w:val="10F929CB"/>
    <w:rsid w:val="10FF31A4"/>
    <w:rsid w:val="1142269D"/>
    <w:rsid w:val="11450985"/>
    <w:rsid w:val="11CA45A9"/>
    <w:rsid w:val="11E8712A"/>
    <w:rsid w:val="11FE3AAA"/>
    <w:rsid w:val="122451E5"/>
    <w:rsid w:val="126B62A8"/>
    <w:rsid w:val="12951F13"/>
    <w:rsid w:val="12B1037D"/>
    <w:rsid w:val="12CC4CD9"/>
    <w:rsid w:val="13326CE6"/>
    <w:rsid w:val="14284AED"/>
    <w:rsid w:val="15CF1AC0"/>
    <w:rsid w:val="17083B88"/>
    <w:rsid w:val="1742163F"/>
    <w:rsid w:val="176E53C3"/>
    <w:rsid w:val="1805797E"/>
    <w:rsid w:val="18124080"/>
    <w:rsid w:val="182E453B"/>
    <w:rsid w:val="189A656F"/>
    <w:rsid w:val="198202DA"/>
    <w:rsid w:val="19AF7A44"/>
    <w:rsid w:val="1A386D9F"/>
    <w:rsid w:val="1A6109EF"/>
    <w:rsid w:val="1A834DBA"/>
    <w:rsid w:val="1B424E9E"/>
    <w:rsid w:val="1BB07761"/>
    <w:rsid w:val="1C2A54A9"/>
    <w:rsid w:val="1C3737FD"/>
    <w:rsid w:val="1C88403A"/>
    <w:rsid w:val="1CB729A5"/>
    <w:rsid w:val="1CC56B97"/>
    <w:rsid w:val="1D047E88"/>
    <w:rsid w:val="1D34682A"/>
    <w:rsid w:val="1D4A73D5"/>
    <w:rsid w:val="1D9C2D67"/>
    <w:rsid w:val="1DAF458D"/>
    <w:rsid w:val="1DE34574"/>
    <w:rsid w:val="1F77716A"/>
    <w:rsid w:val="1F825A11"/>
    <w:rsid w:val="206034DD"/>
    <w:rsid w:val="20DF6845"/>
    <w:rsid w:val="233B4784"/>
    <w:rsid w:val="233E5923"/>
    <w:rsid w:val="236A6149"/>
    <w:rsid w:val="23B146B9"/>
    <w:rsid w:val="240038BA"/>
    <w:rsid w:val="240A65B7"/>
    <w:rsid w:val="24547DA5"/>
    <w:rsid w:val="263D5951"/>
    <w:rsid w:val="265E582C"/>
    <w:rsid w:val="26E147D1"/>
    <w:rsid w:val="27004B43"/>
    <w:rsid w:val="27B248A0"/>
    <w:rsid w:val="283F1644"/>
    <w:rsid w:val="287C6FB4"/>
    <w:rsid w:val="28B4796C"/>
    <w:rsid w:val="29770D57"/>
    <w:rsid w:val="29A000F0"/>
    <w:rsid w:val="29D21E13"/>
    <w:rsid w:val="2A053397"/>
    <w:rsid w:val="2AB554B8"/>
    <w:rsid w:val="2B0377CD"/>
    <w:rsid w:val="2B6B66AA"/>
    <w:rsid w:val="2BFE2EF0"/>
    <w:rsid w:val="2C1E18A5"/>
    <w:rsid w:val="2C604703"/>
    <w:rsid w:val="2D1136DF"/>
    <w:rsid w:val="2D2B5CBF"/>
    <w:rsid w:val="2D8C755C"/>
    <w:rsid w:val="2DA02D04"/>
    <w:rsid w:val="2DFD193C"/>
    <w:rsid w:val="2E9F6859"/>
    <w:rsid w:val="2EC544A9"/>
    <w:rsid w:val="2F0C26B1"/>
    <w:rsid w:val="2F116303"/>
    <w:rsid w:val="2FC614E6"/>
    <w:rsid w:val="30236790"/>
    <w:rsid w:val="30802486"/>
    <w:rsid w:val="31175173"/>
    <w:rsid w:val="314D12BC"/>
    <w:rsid w:val="316F250C"/>
    <w:rsid w:val="31BD13AC"/>
    <w:rsid w:val="31C63837"/>
    <w:rsid w:val="32082F98"/>
    <w:rsid w:val="32A6143E"/>
    <w:rsid w:val="33196AEE"/>
    <w:rsid w:val="336D09C0"/>
    <w:rsid w:val="354A37A9"/>
    <w:rsid w:val="36273CF4"/>
    <w:rsid w:val="36503117"/>
    <w:rsid w:val="36827C07"/>
    <w:rsid w:val="36AA5F52"/>
    <w:rsid w:val="36C058A7"/>
    <w:rsid w:val="36E000FD"/>
    <w:rsid w:val="374146AF"/>
    <w:rsid w:val="37D36EBD"/>
    <w:rsid w:val="38A04AB1"/>
    <w:rsid w:val="399731E4"/>
    <w:rsid w:val="3ADE39A4"/>
    <w:rsid w:val="3AFB1A4C"/>
    <w:rsid w:val="3B610B0E"/>
    <w:rsid w:val="3BF672B3"/>
    <w:rsid w:val="3BF67B6E"/>
    <w:rsid w:val="3C132F7E"/>
    <w:rsid w:val="3C530331"/>
    <w:rsid w:val="3CBB22B3"/>
    <w:rsid w:val="3CC7093B"/>
    <w:rsid w:val="3CC80DC0"/>
    <w:rsid w:val="3D1309DF"/>
    <w:rsid w:val="3D217D96"/>
    <w:rsid w:val="3D5275AC"/>
    <w:rsid w:val="3DED65A8"/>
    <w:rsid w:val="3DFE4E4B"/>
    <w:rsid w:val="3E160417"/>
    <w:rsid w:val="3E4F50AC"/>
    <w:rsid w:val="40161B73"/>
    <w:rsid w:val="4079165E"/>
    <w:rsid w:val="41AD1AA2"/>
    <w:rsid w:val="41B20E4F"/>
    <w:rsid w:val="41D31F00"/>
    <w:rsid w:val="42B76840"/>
    <w:rsid w:val="43316970"/>
    <w:rsid w:val="4421165A"/>
    <w:rsid w:val="44467526"/>
    <w:rsid w:val="44CF4655"/>
    <w:rsid w:val="45A87853"/>
    <w:rsid w:val="45AD0B65"/>
    <w:rsid w:val="46901EEE"/>
    <w:rsid w:val="469C74D2"/>
    <w:rsid w:val="46DC1114"/>
    <w:rsid w:val="46FA6D28"/>
    <w:rsid w:val="473F39FE"/>
    <w:rsid w:val="476D2E32"/>
    <w:rsid w:val="47801D21"/>
    <w:rsid w:val="47FF5A3B"/>
    <w:rsid w:val="48F9688C"/>
    <w:rsid w:val="490B0284"/>
    <w:rsid w:val="492D17D3"/>
    <w:rsid w:val="493A3870"/>
    <w:rsid w:val="4A1207ED"/>
    <w:rsid w:val="4A9D77CC"/>
    <w:rsid w:val="4AF5079B"/>
    <w:rsid w:val="4B345CA5"/>
    <w:rsid w:val="4B701753"/>
    <w:rsid w:val="4BEB2AE8"/>
    <w:rsid w:val="4C181618"/>
    <w:rsid w:val="4C6D3066"/>
    <w:rsid w:val="4CB3745D"/>
    <w:rsid w:val="4D391693"/>
    <w:rsid w:val="4DA93660"/>
    <w:rsid w:val="4DD406E5"/>
    <w:rsid w:val="4DF31F55"/>
    <w:rsid w:val="4E535897"/>
    <w:rsid w:val="4F195BC9"/>
    <w:rsid w:val="4F714843"/>
    <w:rsid w:val="4FCE528B"/>
    <w:rsid w:val="5004002B"/>
    <w:rsid w:val="500A528D"/>
    <w:rsid w:val="50D87915"/>
    <w:rsid w:val="50DB5F45"/>
    <w:rsid w:val="510B4945"/>
    <w:rsid w:val="511D7E14"/>
    <w:rsid w:val="51554269"/>
    <w:rsid w:val="516A2E8A"/>
    <w:rsid w:val="517134A1"/>
    <w:rsid w:val="51BB37A4"/>
    <w:rsid w:val="52163B23"/>
    <w:rsid w:val="523D322D"/>
    <w:rsid w:val="52C01CAC"/>
    <w:rsid w:val="530335BC"/>
    <w:rsid w:val="535F2703"/>
    <w:rsid w:val="549741F3"/>
    <w:rsid w:val="54AF45A2"/>
    <w:rsid w:val="56146D24"/>
    <w:rsid w:val="56547F9B"/>
    <w:rsid w:val="568D63A8"/>
    <w:rsid w:val="569D71D3"/>
    <w:rsid w:val="570E289D"/>
    <w:rsid w:val="57211AEC"/>
    <w:rsid w:val="57AF4592"/>
    <w:rsid w:val="5813797A"/>
    <w:rsid w:val="58344842"/>
    <w:rsid w:val="588E1D40"/>
    <w:rsid w:val="58E4063C"/>
    <w:rsid w:val="58F356A0"/>
    <w:rsid w:val="58FB4926"/>
    <w:rsid w:val="5A8C5C64"/>
    <w:rsid w:val="5B0A3C7C"/>
    <w:rsid w:val="5C145D5F"/>
    <w:rsid w:val="5C58107B"/>
    <w:rsid w:val="5C8850C2"/>
    <w:rsid w:val="5DE43C4B"/>
    <w:rsid w:val="5E256662"/>
    <w:rsid w:val="5E8D0FF0"/>
    <w:rsid w:val="5EA92E5B"/>
    <w:rsid w:val="5F312B5A"/>
    <w:rsid w:val="5F3A544C"/>
    <w:rsid w:val="5F421F4F"/>
    <w:rsid w:val="5F932967"/>
    <w:rsid w:val="600C4334"/>
    <w:rsid w:val="607C007C"/>
    <w:rsid w:val="60EE637C"/>
    <w:rsid w:val="610F4386"/>
    <w:rsid w:val="610F76A0"/>
    <w:rsid w:val="613B2291"/>
    <w:rsid w:val="616F6C82"/>
    <w:rsid w:val="61C23CA5"/>
    <w:rsid w:val="625B5AF2"/>
    <w:rsid w:val="62A91F52"/>
    <w:rsid w:val="62B07C56"/>
    <w:rsid w:val="64350E40"/>
    <w:rsid w:val="64766BFD"/>
    <w:rsid w:val="647D0508"/>
    <w:rsid w:val="6537230D"/>
    <w:rsid w:val="653C1856"/>
    <w:rsid w:val="656325C7"/>
    <w:rsid w:val="65BF2B26"/>
    <w:rsid w:val="65CF3090"/>
    <w:rsid w:val="65D57A52"/>
    <w:rsid w:val="668019BE"/>
    <w:rsid w:val="668147BE"/>
    <w:rsid w:val="66A71241"/>
    <w:rsid w:val="672C26E0"/>
    <w:rsid w:val="67371F43"/>
    <w:rsid w:val="67CB7D39"/>
    <w:rsid w:val="69316E1A"/>
    <w:rsid w:val="69554902"/>
    <w:rsid w:val="69A94B4A"/>
    <w:rsid w:val="69AD798C"/>
    <w:rsid w:val="69C70FA3"/>
    <w:rsid w:val="69E5430E"/>
    <w:rsid w:val="6A197EE3"/>
    <w:rsid w:val="6A4F6540"/>
    <w:rsid w:val="6A733F65"/>
    <w:rsid w:val="6AAD748A"/>
    <w:rsid w:val="6B4F02DD"/>
    <w:rsid w:val="6B68175F"/>
    <w:rsid w:val="6B8E27EF"/>
    <w:rsid w:val="6C360AF8"/>
    <w:rsid w:val="6C6B3009"/>
    <w:rsid w:val="6C6B3214"/>
    <w:rsid w:val="6C747BB9"/>
    <w:rsid w:val="6D3D14C4"/>
    <w:rsid w:val="6D77332B"/>
    <w:rsid w:val="6DF26FFC"/>
    <w:rsid w:val="6E094282"/>
    <w:rsid w:val="6ED34999"/>
    <w:rsid w:val="6F29157B"/>
    <w:rsid w:val="6F531BF4"/>
    <w:rsid w:val="700F486D"/>
    <w:rsid w:val="701074C0"/>
    <w:rsid w:val="707F51EF"/>
    <w:rsid w:val="71833EC6"/>
    <w:rsid w:val="718D4E0D"/>
    <w:rsid w:val="71AE7AA3"/>
    <w:rsid w:val="71CA2249"/>
    <w:rsid w:val="721E4A5D"/>
    <w:rsid w:val="72EE56CB"/>
    <w:rsid w:val="73406D5B"/>
    <w:rsid w:val="738E33C3"/>
    <w:rsid w:val="73FB6630"/>
    <w:rsid w:val="750B5BF1"/>
    <w:rsid w:val="75B51FC0"/>
    <w:rsid w:val="75B60031"/>
    <w:rsid w:val="766D71A5"/>
    <w:rsid w:val="76DD091D"/>
    <w:rsid w:val="77466E92"/>
    <w:rsid w:val="774B26E2"/>
    <w:rsid w:val="77720CA8"/>
    <w:rsid w:val="77ED6F44"/>
    <w:rsid w:val="78224413"/>
    <w:rsid w:val="78FD1F20"/>
    <w:rsid w:val="79101BDB"/>
    <w:rsid w:val="79870A12"/>
    <w:rsid w:val="7A1C6325"/>
    <w:rsid w:val="7A7632AD"/>
    <w:rsid w:val="7AC8434A"/>
    <w:rsid w:val="7B3910B5"/>
    <w:rsid w:val="7B4C7884"/>
    <w:rsid w:val="7B902D83"/>
    <w:rsid w:val="7BAB7A6D"/>
    <w:rsid w:val="7D5B7B53"/>
    <w:rsid w:val="7D710817"/>
    <w:rsid w:val="7F8F3BEC"/>
    <w:rsid w:val="7FD64A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Chars="400"/>
    </w:pPr>
    <w:rPr>
      <w:rFonts w:ascii="Times New Roman" w:hAnsi="Times New Roman" w:eastAsia="宋体" w:cs="Times New Roman"/>
      <w:sz w:val="20"/>
      <w:szCs w:val="20"/>
    </w:rPr>
  </w:style>
  <w:style w:type="paragraph" w:customStyle="1" w:styleId="11">
    <w:name w:val="WPSOffice手动目录 2"/>
    <w:qFormat/>
    <w:uiPriority w:val="0"/>
    <w:pPr>
      <w:ind w:leftChars="200"/>
    </w:pPr>
    <w:rPr>
      <w:rFonts w:ascii="Times New Roman" w:hAnsi="Times New Roman" w:eastAsia="宋体" w:cs="Times New Roman"/>
      <w:sz w:val="20"/>
      <w:szCs w:val="20"/>
    </w:rPr>
  </w:style>
  <w:style w:type="paragraph" w:customStyle="1" w:styleId="12">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4728</Words>
  <Characters>5271</Characters>
  <Lines>0</Lines>
  <Paragraphs>0</Paragraphs>
  <TotalTime>0</TotalTime>
  <ScaleCrop>false</ScaleCrop>
  <LinksUpToDate>false</LinksUpToDate>
  <CharactersWithSpaces>5333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GXR</dc:creator>
  <cp:lastModifiedBy>胡文萱</cp:lastModifiedBy>
  <dcterms:modified xsi:type="dcterms:W3CDTF">2023-09-05T05:14:34Z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72C6589C0E514A27BEC15E21FA79C9F3</vt:lpwstr>
  </property>
</Properties>
</file>