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cs="宋体"/>
          <w:color w:val="auto"/>
          <w:kern w:val="0"/>
          <w:sz w:val="32"/>
          <w:szCs w:val="32"/>
        </w:rPr>
        <w:t>附件：</w:t>
      </w:r>
    </w:p>
    <w:p>
      <w:pPr>
        <w:spacing w:line="540" w:lineRule="exact"/>
        <w:jc w:val="center"/>
        <w:rPr>
          <w:rFonts w:ascii="华文中宋" w:hAnsi="华文中宋" w:eastAsia="华文中宋"/>
          <w:b/>
          <w:bCs/>
          <w:color w:val="4F81BD"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ascii="华文中宋" w:hAnsi="华文中宋" w:eastAsia="华文中宋"/>
          <w:b/>
          <w:bCs/>
          <w:color w:val="4F81BD"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ascii="华文中宋" w:hAnsi="华文中宋" w:eastAsia="华文中宋"/>
          <w:b/>
          <w:bCs/>
          <w:color w:val="4F81BD"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ascii="华文中宋" w:hAnsi="华文中宋" w:eastAsia="华文中宋"/>
          <w:b/>
          <w:bCs/>
          <w:color w:val="4F81BD"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ascii="华文中宋" w:hAnsi="华文中宋" w:eastAsia="华文中宋"/>
          <w:b/>
          <w:bCs/>
          <w:color w:val="4F81BD"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ascii="方正小标宋简体" w:hAnsi="华文中宋" w:eastAsia="方正小标宋简体"/>
          <w:b/>
          <w:bCs/>
          <w:color w:val="auto"/>
          <w:kern w:val="0"/>
          <w:sz w:val="48"/>
          <w:szCs w:val="48"/>
        </w:rPr>
      </w:pPr>
      <w:r>
        <w:rPr>
          <w:rFonts w:hint="eastAsia" w:ascii="方正小标宋简体" w:hAnsi="华文中宋" w:eastAsia="方正小标宋简体" w:cs="方正小标宋简体"/>
          <w:b/>
          <w:bCs/>
          <w:color w:val="auto"/>
          <w:kern w:val="0"/>
          <w:sz w:val="48"/>
          <w:szCs w:val="48"/>
          <w:lang w:eastAsia="zh-CN"/>
        </w:rPr>
        <w:t>特克斯县</w:t>
      </w:r>
      <w:r>
        <w:rPr>
          <w:rFonts w:hint="eastAsia" w:ascii="方正小标宋简体" w:hAnsi="华文中宋" w:eastAsia="方正小标宋简体" w:cs="方正小标宋简体"/>
          <w:b/>
          <w:bCs/>
          <w:color w:val="auto"/>
          <w:kern w:val="0"/>
          <w:sz w:val="48"/>
          <w:szCs w:val="48"/>
        </w:rPr>
        <w:t>社会保险支出</w:t>
      </w:r>
    </w:p>
    <w:p>
      <w:pPr>
        <w:spacing w:line="540" w:lineRule="exact"/>
        <w:jc w:val="center"/>
        <w:rPr>
          <w:rFonts w:ascii="方正小标宋简体" w:hAnsi="华文中宋" w:eastAsia="方正小标宋简体"/>
          <w:b/>
          <w:bCs/>
          <w:color w:val="auto"/>
          <w:kern w:val="0"/>
          <w:sz w:val="48"/>
          <w:szCs w:val="48"/>
        </w:rPr>
      </w:pPr>
      <w:r>
        <w:rPr>
          <w:rFonts w:hint="eastAsia" w:ascii="方正小标宋简体" w:hAnsi="华文中宋" w:eastAsia="方正小标宋简体" w:cs="方正小标宋简体"/>
          <w:b/>
          <w:bCs/>
          <w:color w:val="auto"/>
          <w:kern w:val="0"/>
          <w:sz w:val="48"/>
          <w:szCs w:val="48"/>
        </w:rPr>
        <w:t>绩效评价报告</w:t>
      </w:r>
    </w:p>
    <w:p>
      <w:pPr>
        <w:spacing w:line="540" w:lineRule="exact"/>
        <w:jc w:val="center"/>
        <w:rPr>
          <w:rFonts w:ascii="华文中宋" w:hAnsi="华文中宋" w:eastAsia="华文中宋"/>
          <w:b/>
          <w:bCs/>
          <w:color w:val="auto"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hAnsi="宋体" w:eastAsia="仿宋_GB2312"/>
          <w:color w:val="auto"/>
          <w:kern w:val="0"/>
          <w:sz w:val="36"/>
          <w:szCs w:val="36"/>
        </w:rPr>
      </w:pPr>
      <w:r>
        <w:rPr>
          <w:rFonts w:hint="eastAsia" w:hAnsi="宋体" w:eastAsia="仿宋_GB2312" w:cs="仿宋_GB2312"/>
          <w:color w:val="auto"/>
          <w:kern w:val="0"/>
          <w:sz w:val="36"/>
          <w:szCs w:val="36"/>
        </w:rPr>
        <w:t>（</w:t>
      </w:r>
      <w:r>
        <w:rPr>
          <w:rFonts w:hAnsi="宋体" w:eastAsia="仿宋_GB2312"/>
          <w:color w:val="auto"/>
          <w:kern w:val="0"/>
          <w:sz w:val="36"/>
          <w:szCs w:val="36"/>
        </w:rPr>
        <w:t xml:space="preserve"> </w:t>
      </w:r>
      <w:r>
        <w:rPr>
          <w:rFonts w:hint="eastAsia" w:hAnsi="宋体" w:eastAsia="仿宋_GB2312"/>
          <w:color w:val="auto"/>
          <w:kern w:val="0"/>
          <w:sz w:val="36"/>
          <w:szCs w:val="36"/>
          <w:lang w:eastAsia="zh-CN"/>
        </w:rPr>
        <w:t>202</w:t>
      </w:r>
      <w:r>
        <w:rPr>
          <w:rFonts w:hint="eastAsia" w:hAnsi="宋体" w:eastAsia="仿宋_GB2312"/>
          <w:color w:val="auto"/>
          <w:kern w:val="0"/>
          <w:sz w:val="36"/>
          <w:szCs w:val="36"/>
          <w:lang w:val="en-US" w:eastAsia="zh-CN"/>
        </w:rPr>
        <w:t>1</w:t>
      </w:r>
      <w:r>
        <w:rPr>
          <w:rFonts w:hint="eastAsia" w:hAnsi="宋体" w:eastAsia="仿宋_GB2312" w:cs="仿宋_GB2312"/>
          <w:color w:val="auto"/>
          <w:kern w:val="0"/>
          <w:sz w:val="36"/>
          <w:szCs w:val="36"/>
        </w:rPr>
        <w:t>年度）</w:t>
      </w:r>
    </w:p>
    <w:p>
      <w:pPr>
        <w:spacing w:line="540" w:lineRule="exact"/>
        <w:jc w:val="right"/>
        <w:rPr>
          <w:rFonts w:hAnsi="宋体" w:eastAsia="仿宋_GB2312"/>
          <w:color w:val="auto"/>
          <w:kern w:val="0"/>
          <w:sz w:val="30"/>
          <w:szCs w:val="30"/>
        </w:rPr>
      </w:pPr>
    </w:p>
    <w:p>
      <w:pPr>
        <w:spacing w:line="540" w:lineRule="exact"/>
        <w:jc w:val="center"/>
        <w:rPr>
          <w:rFonts w:hAnsi="宋体" w:eastAsia="仿宋_GB2312"/>
          <w:color w:val="auto"/>
          <w:kern w:val="0"/>
          <w:sz w:val="30"/>
          <w:szCs w:val="30"/>
        </w:rPr>
      </w:pPr>
    </w:p>
    <w:p>
      <w:pPr>
        <w:spacing w:line="540" w:lineRule="exact"/>
        <w:jc w:val="center"/>
        <w:rPr>
          <w:rFonts w:hAnsi="宋体" w:eastAsia="仿宋_GB2312"/>
          <w:color w:val="auto"/>
          <w:kern w:val="0"/>
          <w:sz w:val="30"/>
          <w:szCs w:val="30"/>
        </w:rPr>
      </w:pPr>
    </w:p>
    <w:p>
      <w:pPr>
        <w:spacing w:line="540" w:lineRule="exact"/>
        <w:rPr>
          <w:rFonts w:hAnsi="宋体" w:eastAsia="仿宋_GB2312"/>
          <w:color w:val="auto"/>
          <w:kern w:val="0"/>
          <w:sz w:val="30"/>
          <w:szCs w:val="30"/>
        </w:rPr>
      </w:pPr>
    </w:p>
    <w:p>
      <w:pPr>
        <w:spacing w:line="540" w:lineRule="exact"/>
        <w:rPr>
          <w:rFonts w:hAnsi="宋体" w:eastAsia="仿宋_GB2312"/>
          <w:color w:val="auto"/>
          <w:kern w:val="0"/>
          <w:sz w:val="30"/>
          <w:szCs w:val="30"/>
        </w:rPr>
      </w:pPr>
    </w:p>
    <w:p>
      <w:pPr>
        <w:spacing w:line="700" w:lineRule="exact"/>
        <w:jc w:val="left"/>
        <w:rPr>
          <w:rFonts w:hAnsi="宋体" w:eastAsia="仿宋_GB2312"/>
          <w:color w:val="auto"/>
          <w:kern w:val="0"/>
          <w:sz w:val="36"/>
          <w:szCs w:val="36"/>
        </w:rPr>
      </w:pPr>
      <w:r>
        <w:rPr>
          <w:rFonts w:hint="eastAsia" w:hAnsi="宋体" w:eastAsia="仿宋_GB2312" w:cs="仿宋_GB2312"/>
          <w:color w:val="auto"/>
          <w:kern w:val="0"/>
          <w:sz w:val="36"/>
          <w:szCs w:val="36"/>
        </w:rPr>
        <w:t>项目名称：社会保险基金支出</w:t>
      </w:r>
    </w:p>
    <w:p>
      <w:pPr>
        <w:spacing w:line="700" w:lineRule="exact"/>
        <w:jc w:val="left"/>
        <w:rPr>
          <w:rFonts w:hAnsi="宋体" w:eastAsia="仿宋_GB2312"/>
          <w:color w:val="auto"/>
          <w:kern w:val="0"/>
          <w:sz w:val="36"/>
          <w:szCs w:val="36"/>
        </w:rPr>
      </w:pPr>
      <w:r>
        <w:rPr>
          <w:rFonts w:hint="eastAsia" w:hAnsi="宋体" w:eastAsia="仿宋_GB2312" w:cs="仿宋_GB2312"/>
          <w:color w:val="auto"/>
          <w:kern w:val="0"/>
          <w:sz w:val="36"/>
          <w:szCs w:val="36"/>
        </w:rPr>
        <w:t>实施单位（公章）：</w:t>
      </w:r>
      <w:r>
        <w:rPr>
          <w:rFonts w:hint="eastAsia" w:hAnsi="宋体" w:eastAsia="仿宋_GB2312" w:cs="仿宋_GB2312"/>
          <w:color w:val="auto"/>
          <w:kern w:val="0"/>
          <w:sz w:val="36"/>
          <w:szCs w:val="36"/>
          <w:lang w:eastAsia="zh-CN"/>
        </w:rPr>
        <w:t>特克斯县</w:t>
      </w:r>
      <w:r>
        <w:rPr>
          <w:rFonts w:hint="eastAsia" w:hAnsi="宋体" w:eastAsia="仿宋_GB2312" w:cs="仿宋_GB2312"/>
          <w:color w:val="auto"/>
          <w:kern w:val="0"/>
          <w:sz w:val="36"/>
          <w:szCs w:val="36"/>
        </w:rPr>
        <w:t>社会保险管理局</w:t>
      </w:r>
    </w:p>
    <w:p>
      <w:pPr>
        <w:spacing w:line="700" w:lineRule="exact"/>
        <w:jc w:val="left"/>
        <w:rPr>
          <w:rFonts w:hAnsi="宋体" w:eastAsia="仿宋_GB2312"/>
          <w:color w:val="auto"/>
          <w:kern w:val="0"/>
          <w:sz w:val="36"/>
          <w:szCs w:val="36"/>
        </w:rPr>
      </w:pPr>
      <w:r>
        <w:rPr>
          <w:rFonts w:hint="eastAsia" w:hAnsi="宋体" w:eastAsia="仿宋_GB2312" w:cs="仿宋_GB2312"/>
          <w:color w:val="auto"/>
          <w:kern w:val="0"/>
          <w:sz w:val="36"/>
          <w:szCs w:val="36"/>
        </w:rPr>
        <w:t>负责人（签章）：</w:t>
      </w:r>
    </w:p>
    <w:p>
      <w:pPr>
        <w:spacing w:line="700" w:lineRule="exact"/>
        <w:jc w:val="left"/>
        <w:rPr>
          <w:rFonts w:hAnsi="宋体" w:eastAsia="仿宋_GB2312"/>
          <w:color w:val="4F81BD"/>
          <w:kern w:val="0"/>
          <w:sz w:val="36"/>
          <w:szCs w:val="36"/>
          <w:highlight w:val="none"/>
        </w:rPr>
      </w:pPr>
      <w:r>
        <w:rPr>
          <w:rFonts w:hint="eastAsia" w:hAnsi="宋体" w:eastAsia="仿宋_GB2312" w:cs="仿宋_GB2312"/>
          <w:color w:val="auto"/>
          <w:kern w:val="0"/>
          <w:sz w:val="36"/>
          <w:szCs w:val="36"/>
        </w:rPr>
        <w:t>填报时间：</w:t>
      </w:r>
      <w:r>
        <w:rPr>
          <w:rFonts w:hAnsi="宋体" w:eastAsia="仿宋_GB2312"/>
          <w:color w:val="auto"/>
          <w:kern w:val="0"/>
          <w:sz w:val="36"/>
          <w:szCs w:val="36"/>
          <w:highlight w:val="none"/>
        </w:rPr>
        <w:t>20</w:t>
      </w:r>
      <w:r>
        <w:rPr>
          <w:rFonts w:hint="eastAsia" w:hAnsi="宋体" w:eastAsia="仿宋_GB2312"/>
          <w:color w:val="auto"/>
          <w:kern w:val="0"/>
          <w:sz w:val="36"/>
          <w:szCs w:val="36"/>
          <w:highlight w:val="none"/>
          <w:lang w:val="en-US" w:eastAsia="zh-CN"/>
        </w:rPr>
        <w:t>22</w:t>
      </w:r>
      <w:r>
        <w:rPr>
          <w:rFonts w:hAnsi="宋体" w:eastAsia="仿宋_GB2312"/>
          <w:color w:val="auto"/>
          <w:kern w:val="0"/>
          <w:sz w:val="36"/>
          <w:szCs w:val="36"/>
          <w:highlight w:val="none"/>
        </w:rPr>
        <w:t xml:space="preserve"> </w:t>
      </w:r>
      <w:r>
        <w:rPr>
          <w:rFonts w:hint="eastAsia" w:hAnsi="宋体" w:eastAsia="仿宋_GB2312" w:cs="仿宋_GB2312"/>
          <w:color w:val="auto"/>
          <w:kern w:val="0"/>
          <w:sz w:val="36"/>
          <w:szCs w:val="36"/>
          <w:highlight w:val="none"/>
        </w:rPr>
        <w:t>年</w:t>
      </w:r>
      <w:r>
        <w:rPr>
          <w:rFonts w:hint="eastAsia" w:hAnsi="宋体" w:eastAsia="仿宋_GB2312" w:cs="仿宋_GB2312"/>
          <w:color w:val="auto"/>
          <w:kern w:val="0"/>
          <w:sz w:val="36"/>
          <w:szCs w:val="36"/>
          <w:highlight w:val="none"/>
          <w:lang w:val="en-US" w:eastAsia="zh-CN"/>
        </w:rPr>
        <w:t>9</w:t>
      </w:r>
      <w:r>
        <w:rPr>
          <w:rFonts w:hint="eastAsia" w:hAnsi="宋体" w:eastAsia="仿宋_GB2312" w:cs="仿宋_GB2312"/>
          <w:color w:val="auto"/>
          <w:kern w:val="0"/>
          <w:sz w:val="36"/>
          <w:szCs w:val="36"/>
          <w:highlight w:val="none"/>
        </w:rPr>
        <w:t>月</w:t>
      </w:r>
      <w:r>
        <w:rPr>
          <w:rFonts w:hint="eastAsia" w:hAnsi="宋体" w:eastAsia="仿宋_GB2312"/>
          <w:color w:val="auto"/>
          <w:kern w:val="0"/>
          <w:sz w:val="36"/>
          <w:szCs w:val="36"/>
          <w:highlight w:val="none"/>
          <w:lang w:val="en-US" w:eastAsia="zh-CN"/>
        </w:rPr>
        <w:t>10</w:t>
      </w:r>
      <w:r>
        <w:rPr>
          <w:rFonts w:hint="eastAsia" w:hAnsi="宋体" w:eastAsia="仿宋_GB2312" w:cs="仿宋_GB2312"/>
          <w:color w:val="auto"/>
          <w:kern w:val="0"/>
          <w:sz w:val="36"/>
          <w:szCs w:val="36"/>
          <w:highlight w:val="none"/>
        </w:rPr>
        <w:t>日</w:t>
      </w:r>
    </w:p>
    <w:p>
      <w:pPr>
        <w:spacing w:line="540" w:lineRule="exact"/>
        <w:jc w:val="center"/>
        <w:rPr>
          <w:rFonts w:hAnsi="宋体" w:eastAsia="仿宋_GB2312"/>
          <w:color w:val="4F81BD"/>
          <w:kern w:val="0"/>
          <w:sz w:val="30"/>
          <w:szCs w:val="30"/>
        </w:rPr>
      </w:pPr>
    </w:p>
    <w:p>
      <w:pPr>
        <w:spacing w:line="540" w:lineRule="exact"/>
        <w:jc w:val="center"/>
        <w:rPr>
          <w:rFonts w:hAnsi="宋体" w:eastAsia="仿宋_GB2312"/>
          <w:color w:val="4F81BD"/>
          <w:kern w:val="0"/>
          <w:sz w:val="30"/>
          <w:szCs w:val="30"/>
        </w:rPr>
      </w:pPr>
    </w:p>
    <w:p>
      <w:pPr>
        <w:spacing w:line="540" w:lineRule="exact"/>
        <w:rPr>
          <w:rStyle w:val="6"/>
          <w:rFonts w:ascii="黑体" w:hAnsi="黑体" w:eastAsia="黑体"/>
          <w:b w:val="0"/>
          <w:bCs w:val="0"/>
          <w:color w:val="4F81BD"/>
          <w:spacing w:val="-4"/>
          <w:sz w:val="32"/>
          <w:szCs w:val="32"/>
        </w:rPr>
      </w:pPr>
    </w:p>
    <w:p>
      <w:pPr>
        <w:spacing w:line="540" w:lineRule="exact"/>
        <w:ind w:firstLine="640"/>
        <w:rPr>
          <w:rStyle w:val="6"/>
          <w:rFonts w:ascii="黑体" w:hAnsi="黑体" w:eastAsia="黑体"/>
          <w:b w:val="0"/>
          <w:bCs w:val="0"/>
          <w:color w:val="4F81BD"/>
          <w:spacing w:val="-4"/>
          <w:sz w:val="32"/>
          <w:szCs w:val="32"/>
        </w:rPr>
      </w:pPr>
    </w:p>
    <w:p>
      <w:pPr>
        <w:spacing w:line="540" w:lineRule="exact"/>
        <w:ind w:firstLine="640"/>
        <w:rPr>
          <w:rStyle w:val="6"/>
          <w:rFonts w:ascii="黑体" w:hAnsi="黑体" w:eastAsia="黑体"/>
          <w:b w:val="0"/>
          <w:bCs w:val="0"/>
          <w:color w:val="4F81BD"/>
          <w:spacing w:val="-4"/>
          <w:sz w:val="32"/>
          <w:szCs w:val="32"/>
        </w:rPr>
      </w:pPr>
    </w:p>
    <w:p>
      <w:pPr>
        <w:spacing w:line="540" w:lineRule="exact"/>
        <w:ind w:firstLine="640"/>
        <w:rPr>
          <w:rStyle w:val="6"/>
          <w:rFonts w:hint="eastAsia" w:ascii="黑体" w:hAnsi="黑体" w:eastAsia="黑体" w:cs="黑体"/>
          <w:b w:val="0"/>
          <w:bCs w:val="0"/>
          <w:color w:val="auto"/>
          <w:spacing w:val="-4"/>
          <w:sz w:val="32"/>
          <w:szCs w:val="32"/>
        </w:rPr>
      </w:pPr>
    </w:p>
    <w:p>
      <w:pPr>
        <w:spacing w:line="540" w:lineRule="exact"/>
        <w:ind w:firstLine="640"/>
        <w:rPr>
          <w:rStyle w:val="6"/>
          <w:rFonts w:hint="eastAsia" w:ascii="宋体" w:hAnsi="宋体" w:eastAsia="宋体" w:cs="宋体"/>
          <w:b/>
          <w:bCs/>
          <w:color w:val="auto"/>
          <w:spacing w:val="-4"/>
          <w:sz w:val="32"/>
          <w:szCs w:val="32"/>
        </w:rPr>
      </w:pPr>
      <w:r>
        <w:rPr>
          <w:rStyle w:val="6"/>
          <w:rFonts w:hint="eastAsia" w:ascii="黑体" w:hAnsi="黑体" w:eastAsia="黑体" w:cs="黑体"/>
          <w:b/>
          <w:bCs/>
          <w:color w:val="auto"/>
          <w:spacing w:val="-4"/>
          <w:sz w:val="32"/>
          <w:szCs w:val="32"/>
        </w:rPr>
        <w:t>一、社会保险基金收支余总体情况</w:t>
      </w:r>
    </w:p>
    <w:p>
      <w:pPr>
        <w:widowControl/>
        <w:ind w:firstLine="482" w:firstLineChars="150"/>
        <w:jc w:val="left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</w:rPr>
        <w:t>（一）社会保险基金总体情况</w:t>
      </w:r>
    </w:p>
    <w:p>
      <w:pPr>
        <w:widowControl/>
        <w:ind w:firstLine="480" w:firstLineChars="15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特克斯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县社会保险基金总收入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25682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万元，总支出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24297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万元，本年收支结余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1385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万元，年末滚存结余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13584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万元。分项情况如下：</w:t>
      </w:r>
    </w:p>
    <w:p>
      <w:pPr>
        <w:widowControl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一、 企业职工基本养老保险基金</w:t>
      </w:r>
    </w:p>
    <w:p>
      <w:pPr>
        <w:widowControl/>
        <w:ind w:firstLine="48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本年收入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万元，其中：基本养老保险费收入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万元，财政补贴收入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万元。本年支出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万元，其中，基本养老金支出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万元。本年收支结余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万元。年末滚存结余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万元，其中：个人账户滚存结余0万元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。（由州局统一填报）</w:t>
      </w:r>
    </w:p>
    <w:p>
      <w:pPr>
        <w:widowControl/>
        <w:jc w:val="left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二、城乡居民基本养老保险基金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4F81BD" w:themeColor="accent1"/>
          <w:sz w:val="32"/>
          <w:szCs w:val="32"/>
          <w14:textFill>
            <w14:solidFill>
              <w14:schemeClr w14:val="accent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本年收入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3899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万元，其中：基本养老保险费收入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1327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万元，财政补贴收入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2098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万元。本年支出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1971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万元，其中，基本养老金支出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1958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万元。本年收支结余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1928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万元，年末滚存结余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12285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万元。</w:t>
      </w:r>
    </w:p>
    <w:p>
      <w:pPr>
        <w:widowControl/>
        <w:jc w:val="left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三、机关事业单位基本养老保险基金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本年收入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21783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万元，其中：基本养老保险费收入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13016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万元，财政补贴收入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6324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万元。本年支出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22326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万元，其中，基本养老金支出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22268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万元。本年收支结余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-543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万元，年末滚存结余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1299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四、城镇职工基本医疗保险基金</w:t>
      </w:r>
    </w:p>
    <w:p>
      <w:pPr>
        <w:widowControl/>
        <w:ind w:firstLine="48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本年收入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万元，其中：基本医疗保险费收入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万元。本年支出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万元，其中，基本医疗保险待遇支出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万元。本年收支结余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万元，年末滚存结余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其中：个人账户滚存结余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（由州局统一填报）</w:t>
      </w:r>
    </w:p>
    <w:p>
      <w:pPr>
        <w:widowControl/>
        <w:jc w:val="left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五、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城乡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居民基本医疗保险基金</w:t>
      </w:r>
    </w:p>
    <w:p>
      <w:pPr>
        <w:widowControl/>
        <w:ind w:firstLine="480"/>
        <w:jc w:val="left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本年收入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万元，其中：个人缴费收入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万元，财政补贴收入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万元。本年支出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万元，其中，基本医疗保险待遇支出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万元。本年收支结余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万元，年末滚存结余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（由州局统一填报）</w:t>
      </w:r>
    </w:p>
    <w:p>
      <w:pPr>
        <w:widowControl/>
        <w:jc w:val="left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、工伤保险基金</w:t>
      </w:r>
    </w:p>
    <w:p>
      <w:pPr>
        <w:widowControl/>
        <w:ind w:firstLine="48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本年收入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万元，其中：工伤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保险费收入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万元。本年支出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万元，其中，工伤保险待遇支出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万元。本年收支结余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万元，年末滚存结余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（由州局统一填报）</w:t>
      </w:r>
    </w:p>
    <w:p>
      <w:pPr>
        <w:widowControl/>
        <w:jc w:val="left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、失业保险基金</w:t>
      </w:r>
    </w:p>
    <w:p>
      <w:pPr>
        <w:widowControl/>
        <w:ind w:firstLine="48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本年收入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万元，其中：失业保险费收入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万元。本年支出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万元，其中，失业保险金支出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万元。本年收支结余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万元，年末滚存结余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（由州局统一填报）</w:t>
      </w:r>
    </w:p>
    <w:p>
      <w:pPr>
        <w:spacing w:line="540" w:lineRule="exact"/>
        <w:ind w:firstLine="567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</w:pPr>
      <w:r>
        <w:rPr>
          <w:rStyle w:val="6"/>
          <w:rFonts w:hint="eastAsia" w:ascii="楷体_GB2312" w:hAnsi="楷体_GB2312" w:eastAsia="楷体_GB2312" w:cs="楷体_GB2312"/>
          <w:color w:val="auto"/>
          <w:spacing w:val="-4"/>
          <w:sz w:val="32"/>
          <w:szCs w:val="32"/>
        </w:rPr>
        <w:t>（二）社会保险基金支出预算绩效目标设定情况</w:t>
      </w:r>
    </w:p>
    <w:p>
      <w:pPr>
        <w:widowControl/>
        <w:ind w:firstLine="48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企业养老保险涉及对象：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由州局统一填报</w:t>
      </w:r>
    </w:p>
    <w:p>
      <w:pPr>
        <w:spacing w:line="540" w:lineRule="exact"/>
        <w:ind w:firstLine="567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机关养老保险涉及对象：批准退休人员；支出项目为：1、按月发放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机关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养老待遇。2、清退个人账户。3、待遇调整。</w:t>
      </w:r>
    </w:p>
    <w:p>
      <w:pPr>
        <w:spacing w:line="540" w:lineRule="exact"/>
        <w:ind w:firstLine="567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居民养老保险涉及对象：对于到达法定退休年龄人员按月享受居民养老保险待遇。支出项目为：1、按月发放居民养老待遇。2、死亡人员丧葬费、抚恤金个人账户清退。3、待遇调整。</w:t>
      </w:r>
    </w:p>
    <w:p>
      <w:pPr>
        <w:spacing w:line="540" w:lineRule="exact"/>
        <w:ind w:firstLine="567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工伤保险涉及对象：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由州局统一填报</w:t>
      </w:r>
    </w:p>
    <w:p>
      <w:pPr>
        <w:spacing w:line="540" w:lineRule="exact"/>
        <w:ind w:firstLine="567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失业保险涉及对象：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由州局统一填报</w:t>
      </w:r>
    </w:p>
    <w:p>
      <w:pPr>
        <w:spacing w:line="540" w:lineRule="exact"/>
        <w:ind w:firstLine="640"/>
        <w:rPr>
          <w:rStyle w:val="6"/>
          <w:rFonts w:hint="eastAsia" w:ascii="黑体" w:hAnsi="黑体" w:eastAsia="黑体" w:cs="黑体"/>
          <w:b w:val="0"/>
          <w:bCs w:val="0"/>
          <w:color w:val="auto"/>
          <w:spacing w:val="-4"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 w:val="0"/>
          <w:color w:val="auto"/>
          <w:spacing w:val="-4"/>
          <w:sz w:val="32"/>
          <w:szCs w:val="32"/>
        </w:rPr>
        <w:t>二、各项社会保险基金预算完成及运行情况</w:t>
      </w:r>
    </w:p>
    <w:p>
      <w:pPr>
        <w:spacing w:line="540" w:lineRule="exact"/>
        <w:ind w:firstLine="313" w:firstLineChars="100"/>
        <w:rPr>
          <w:rFonts w:hint="eastAsia" w:ascii="楷体_GB2312" w:hAnsi="楷体_GB2312" w:eastAsia="楷体_GB2312" w:cs="楷体_GB2312"/>
          <w:b/>
          <w:bCs/>
          <w:color w:val="4F81BD"/>
          <w:spacing w:val="-4"/>
          <w:sz w:val="32"/>
          <w:szCs w:val="32"/>
        </w:rPr>
      </w:pPr>
      <w:r>
        <w:rPr>
          <w:rStyle w:val="6"/>
          <w:rFonts w:hint="eastAsia" w:ascii="楷体_GB2312" w:hAnsi="楷体_GB2312" w:eastAsia="楷体_GB2312" w:cs="楷体_GB2312"/>
          <w:color w:val="auto"/>
          <w:spacing w:val="-4"/>
          <w:sz w:val="32"/>
          <w:szCs w:val="32"/>
        </w:rPr>
        <w:t>（一）企业职工基本养老保险基金预算完成及运行情况分析</w:t>
      </w:r>
    </w:p>
    <w:p>
      <w:pPr>
        <w:spacing w:line="520" w:lineRule="exact"/>
        <w:ind w:firstLine="640" w:firstLineChars="200"/>
        <w:rPr>
          <w:rStyle w:val="6"/>
          <w:rFonts w:hint="eastAsia" w:ascii="仿宋_GB2312" w:hAnsi="仿宋_GB2312" w:eastAsia="仿宋_GB2312" w:cs="仿宋_GB2312"/>
          <w:color w:val="FF0000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由州局统一填报</w:t>
      </w:r>
    </w:p>
    <w:p>
      <w:pPr>
        <w:spacing w:line="540" w:lineRule="exact"/>
        <w:ind w:firstLine="313" w:firstLineChars="100"/>
        <w:rPr>
          <w:rFonts w:hint="eastAsia" w:ascii="楷体_GB2312" w:hAnsi="楷体_GB2312" w:eastAsia="楷体_GB2312" w:cs="楷体_GB2312"/>
          <w:b/>
          <w:bCs/>
          <w:color w:val="auto"/>
          <w:spacing w:val="-4"/>
          <w:sz w:val="32"/>
          <w:szCs w:val="32"/>
        </w:rPr>
      </w:pPr>
      <w:r>
        <w:rPr>
          <w:rStyle w:val="6"/>
          <w:rFonts w:hint="eastAsia" w:ascii="楷体_GB2312" w:hAnsi="楷体_GB2312" w:eastAsia="楷体_GB2312" w:cs="楷体_GB2312"/>
          <w:color w:val="auto"/>
          <w:spacing w:val="-4"/>
          <w:sz w:val="32"/>
          <w:szCs w:val="32"/>
        </w:rPr>
        <w:t>（二）机关事业单位养老保险基金预算完成及运行情况分析</w:t>
      </w:r>
    </w:p>
    <w:tbl>
      <w:tblPr>
        <w:tblStyle w:val="4"/>
        <w:tblpPr w:leftFromText="180" w:rightFromText="180" w:vertAnchor="text" w:horzAnchor="margin" w:tblpXSpec="center" w:tblpY="31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6"/>
        <w:gridCol w:w="1271"/>
        <w:gridCol w:w="1086"/>
        <w:gridCol w:w="1220"/>
        <w:gridCol w:w="1220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50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项目</w:t>
            </w:r>
          </w:p>
        </w:tc>
        <w:tc>
          <w:tcPr>
            <w:tcW w:w="127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预算（万元）</w:t>
            </w:r>
          </w:p>
        </w:tc>
        <w:tc>
          <w:tcPr>
            <w:tcW w:w="108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实际（万元）</w:t>
            </w:r>
          </w:p>
        </w:tc>
        <w:tc>
          <w:tcPr>
            <w:tcW w:w="122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预算完成率</w:t>
            </w:r>
          </w:p>
        </w:tc>
        <w:tc>
          <w:tcPr>
            <w:tcW w:w="1220" w:type="dxa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年决算数</w:t>
            </w:r>
          </w:p>
        </w:tc>
        <w:tc>
          <w:tcPr>
            <w:tcW w:w="1219" w:type="dxa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增幅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506" w:type="dxa"/>
            <w:vAlign w:val="center"/>
          </w:tcPr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机关养老保险支出</w:t>
            </w:r>
          </w:p>
        </w:tc>
        <w:tc>
          <w:tcPr>
            <w:tcW w:w="127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20926</w:t>
            </w:r>
          </w:p>
        </w:tc>
        <w:tc>
          <w:tcPr>
            <w:tcW w:w="108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4F81BD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22326</w:t>
            </w:r>
          </w:p>
        </w:tc>
        <w:tc>
          <w:tcPr>
            <w:tcW w:w="122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4F81BD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106.69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%</w:t>
            </w:r>
          </w:p>
        </w:tc>
        <w:tc>
          <w:tcPr>
            <w:tcW w:w="1220" w:type="dxa"/>
          </w:tcPr>
          <w:p>
            <w:pPr>
              <w:spacing w:line="520" w:lineRule="exact"/>
              <w:rPr>
                <w:rFonts w:hint="eastAsia" w:ascii="宋体" w:hAnsi="宋体" w:eastAsia="宋体" w:cs="宋体"/>
                <w:color w:val="4F81BD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20015</w:t>
            </w:r>
          </w:p>
        </w:tc>
        <w:tc>
          <w:tcPr>
            <w:tcW w:w="1219" w:type="dxa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4F81BD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11.55%</w:t>
            </w:r>
          </w:p>
        </w:tc>
      </w:tr>
    </w:tbl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新机关事业养老保险基金收入支出运行情况良好，总支出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22326万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元，与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年预算相比情况：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年决算支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22326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年预算支出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20926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万元，预算完成率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106.69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%。主要原因是：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自治区林业厅直属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国有林场（天山西部国有林管理局特克斯分局）72人，在改革过渡期退休发放的初始待遇，重新计算并补发了工资待遇706万元。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年决算相比情况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年决算支出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22326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年决算支出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20015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万元，增幅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11.55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%。主要原因: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治区林业厅直属国有林场（天山西部国有林管理局特克斯分局）72人，在改革过渡期退休发放的初始待遇，重新计算并补发了工资待遇706万元。新增退休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27人，加之待遇正常调整，支出增长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spacing w:line="540" w:lineRule="exact"/>
        <w:ind w:firstLine="313" w:firstLineChars="100"/>
        <w:rPr>
          <w:rStyle w:val="6"/>
          <w:rFonts w:hint="eastAsia" w:ascii="楷体_GB2312" w:hAnsi="楷体_GB2312" w:eastAsia="楷体_GB2312" w:cs="楷体_GB2312"/>
          <w:color w:val="auto"/>
          <w:spacing w:val="-4"/>
          <w:sz w:val="32"/>
          <w:szCs w:val="32"/>
        </w:rPr>
      </w:pPr>
      <w:r>
        <w:rPr>
          <w:rStyle w:val="6"/>
          <w:rFonts w:hint="eastAsia" w:ascii="楷体_GB2312" w:hAnsi="楷体_GB2312" w:eastAsia="楷体_GB2312" w:cs="楷体_GB2312"/>
          <w:color w:val="auto"/>
          <w:spacing w:val="-4"/>
          <w:sz w:val="32"/>
          <w:szCs w:val="32"/>
        </w:rPr>
        <w:t>（三）</w:t>
      </w:r>
      <w:r>
        <w:rPr>
          <w:rStyle w:val="6"/>
          <w:rFonts w:hint="eastAsia" w:ascii="楷体_GB2312" w:hAnsi="楷体_GB2312" w:eastAsia="楷体_GB2312" w:cs="楷体_GB2312"/>
          <w:color w:val="auto"/>
          <w:spacing w:val="-4"/>
          <w:sz w:val="32"/>
          <w:szCs w:val="32"/>
          <w:lang w:eastAsia="zh-CN"/>
        </w:rPr>
        <w:t>城乡</w:t>
      </w:r>
      <w:r>
        <w:rPr>
          <w:rStyle w:val="6"/>
          <w:rFonts w:hint="eastAsia" w:ascii="楷体_GB2312" w:hAnsi="楷体_GB2312" w:eastAsia="楷体_GB2312" w:cs="楷体_GB2312"/>
          <w:color w:val="auto"/>
          <w:spacing w:val="-4"/>
          <w:sz w:val="32"/>
          <w:szCs w:val="32"/>
        </w:rPr>
        <w:t>居民养老保险基金预算完成及运行情况分析</w:t>
      </w:r>
    </w:p>
    <w:tbl>
      <w:tblPr>
        <w:tblStyle w:val="4"/>
        <w:tblpPr w:leftFromText="180" w:rightFromText="180" w:vertAnchor="text" w:horzAnchor="margin" w:tblpXSpec="center" w:tblpY="31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2"/>
        <w:gridCol w:w="1090"/>
        <w:gridCol w:w="971"/>
        <w:gridCol w:w="1344"/>
        <w:gridCol w:w="816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08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项目</w:t>
            </w:r>
          </w:p>
        </w:tc>
        <w:tc>
          <w:tcPr>
            <w:tcW w:w="109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预算（万元）</w:t>
            </w:r>
          </w:p>
        </w:tc>
        <w:tc>
          <w:tcPr>
            <w:tcW w:w="97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实际（万元）</w:t>
            </w:r>
          </w:p>
        </w:tc>
        <w:tc>
          <w:tcPr>
            <w:tcW w:w="134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预算完成率</w:t>
            </w:r>
          </w:p>
        </w:tc>
        <w:tc>
          <w:tcPr>
            <w:tcW w:w="816" w:type="dxa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年决算数</w:t>
            </w:r>
          </w:p>
        </w:tc>
        <w:tc>
          <w:tcPr>
            <w:tcW w:w="1219" w:type="dxa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增幅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082" w:type="dxa"/>
            <w:vAlign w:val="center"/>
          </w:tcPr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color w:val="4F81BD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城乡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居民养老保险支出</w:t>
            </w:r>
          </w:p>
        </w:tc>
        <w:tc>
          <w:tcPr>
            <w:tcW w:w="109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4F81BD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2013</w:t>
            </w:r>
          </w:p>
        </w:tc>
        <w:tc>
          <w:tcPr>
            <w:tcW w:w="97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4F81BD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1971</w:t>
            </w:r>
          </w:p>
        </w:tc>
        <w:tc>
          <w:tcPr>
            <w:tcW w:w="134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4F81BD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97.91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%</w:t>
            </w:r>
          </w:p>
        </w:tc>
        <w:tc>
          <w:tcPr>
            <w:tcW w:w="816" w:type="dxa"/>
          </w:tcPr>
          <w:p>
            <w:pPr>
              <w:spacing w:line="520" w:lineRule="exact"/>
              <w:rPr>
                <w:rFonts w:hint="eastAsia" w:ascii="宋体" w:hAnsi="宋体" w:eastAsia="宋体" w:cs="宋体"/>
                <w:color w:val="4F81BD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1776</w:t>
            </w:r>
          </w:p>
        </w:tc>
        <w:tc>
          <w:tcPr>
            <w:tcW w:w="1219" w:type="dxa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4F81BD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10.98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%</w:t>
            </w:r>
          </w:p>
        </w:tc>
      </w:tr>
    </w:tbl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我县城乡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居民养老保险支出为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1971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万元，其中个人账户支出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181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万元，基础养老金支出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4F81BD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年预算相比情况：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年决算支出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1971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年预算支出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万元，完成预算的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97.91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%。主要原因是：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城乡待遇调整和清理清查停发待遇需支付丧葬费，并做了预算追加72.55万元，有部分空挂户和出国人员未清理完毕，无法支付，故预算执行率下降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年决算相比情况：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年决算支出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1971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年决算支出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1776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万元，增幅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10.98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。主要原因:今年领取待遇标准提高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，当年新增退休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240人，缴费退休人员个人账户支出增加。</w:t>
      </w:r>
    </w:p>
    <w:p>
      <w:pPr>
        <w:numPr>
          <w:ilvl w:val="0"/>
          <w:numId w:val="0"/>
        </w:numPr>
        <w:spacing w:line="540" w:lineRule="exact"/>
        <w:rPr>
          <w:rStyle w:val="6"/>
          <w:rFonts w:hint="eastAsia" w:ascii="楷体_GB2312" w:hAnsi="楷体_GB2312" w:eastAsia="楷体_GB2312" w:cs="楷体_GB2312"/>
          <w:spacing w:val="-4"/>
          <w:sz w:val="32"/>
          <w:szCs w:val="32"/>
        </w:rPr>
      </w:pPr>
      <w:r>
        <w:rPr>
          <w:rStyle w:val="6"/>
          <w:rFonts w:hint="eastAsia" w:ascii="楷体_GB2312" w:hAnsi="楷体_GB2312" w:eastAsia="楷体_GB2312" w:cs="楷体_GB2312"/>
          <w:spacing w:val="-4"/>
          <w:sz w:val="32"/>
          <w:szCs w:val="32"/>
          <w:lang w:eastAsia="zh-CN"/>
        </w:rPr>
        <w:t>（四）</w:t>
      </w:r>
      <w:r>
        <w:rPr>
          <w:rStyle w:val="6"/>
          <w:rFonts w:hint="eastAsia" w:ascii="楷体_GB2312" w:hAnsi="楷体_GB2312" w:eastAsia="楷体_GB2312" w:cs="楷体_GB2312"/>
          <w:spacing w:val="-4"/>
          <w:sz w:val="32"/>
          <w:szCs w:val="32"/>
        </w:rPr>
        <w:t>职工医疗基金预算完成及运行情况分析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eastAsia="zh-CN"/>
        </w:rPr>
        <w:t>由州局统一填报</w:t>
      </w:r>
    </w:p>
    <w:p>
      <w:pPr>
        <w:spacing w:line="540" w:lineRule="exact"/>
        <w:rPr>
          <w:rStyle w:val="6"/>
          <w:rFonts w:hint="eastAsia" w:ascii="楷体_GB2312" w:hAnsi="楷体_GB2312" w:eastAsia="楷体_GB2312" w:cs="楷体_GB2312"/>
          <w:spacing w:val="-4"/>
          <w:sz w:val="32"/>
          <w:szCs w:val="32"/>
        </w:rPr>
      </w:pPr>
      <w:r>
        <w:rPr>
          <w:rStyle w:val="6"/>
          <w:rFonts w:hint="eastAsia" w:ascii="楷体_GB2312" w:hAnsi="楷体_GB2312" w:eastAsia="楷体_GB2312" w:cs="楷体_GB2312"/>
          <w:spacing w:val="-4"/>
          <w:sz w:val="32"/>
          <w:szCs w:val="32"/>
        </w:rPr>
        <w:t>（</w:t>
      </w:r>
      <w:r>
        <w:rPr>
          <w:rStyle w:val="6"/>
          <w:rFonts w:hint="eastAsia" w:ascii="楷体_GB2312" w:hAnsi="楷体_GB2312" w:eastAsia="楷体_GB2312" w:cs="楷体_GB2312"/>
          <w:spacing w:val="-4"/>
          <w:sz w:val="32"/>
          <w:szCs w:val="32"/>
          <w:lang w:val="en-US" w:eastAsia="zh-CN"/>
        </w:rPr>
        <w:t>五</w:t>
      </w:r>
      <w:r>
        <w:rPr>
          <w:rStyle w:val="6"/>
          <w:rFonts w:hint="eastAsia" w:ascii="楷体_GB2312" w:hAnsi="楷体_GB2312" w:eastAsia="楷体_GB2312" w:cs="楷体_GB2312"/>
          <w:spacing w:val="-4"/>
          <w:sz w:val="32"/>
          <w:szCs w:val="32"/>
        </w:rPr>
        <w:t>）</w:t>
      </w:r>
      <w:r>
        <w:rPr>
          <w:rStyle w:val="6"/>
          <w:rFonts w:hint="eastAsia" w:ascii="楷体_GB2312" w:hAnsi="楷体_GB2312" w:eastAsia="楷体_GB2312" w:cs="楷体_GB2312"/>
          <w:spacing w:val="-4"/>
          <w:sz w:val="32"/>
          <w:szCs w:val="32"/>
          <w:lang w:eastAsia="zh-CN"/>
        </w:rPr>
        <w:t>城乡</w:t>
      </w:r>
      <w:r>
        <w:rPr>
          <w:rStyle w:val="6"/>
          <w:rFonts w:hint="eastAsia" w:ascii="楷体_GB2312" w:hAnsi="楷体_GB2312" w:eastAsia="楷体_GB2312" w:cs="楷体_GB2312"/>
          <w:spacing w:val="-4"/>
          <w:sz w:val="32"/>
          <w:szCs w:val="32"/>
        </w:rPr>
        <w:t>居民医疗基金预算完成及运行情况分析</w:t>
      </w:r>
    </w:p>
    <w:p>
      <w:pPr>
        <w:numPr>
          <w:ilvl w:val="0"/>
          <w:numId w:val="0"/>
        </w:numPr>
        <w:spacing w:line="540" w:lineRule="exact"/>
        <w:ind w:firstLine="62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eastAsia="zh-CN"/>
        </w:rPr>
        <w:t>由州局统一填报</w:t>
      </w:r>
    </w:p>
    <w:p>
      <w:pPr>
        <w:spacing w:line="520" w:lineRule="exact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</w:pPr>
    </w:p>
    <w:p>
      <w:pPr>
        <w:pStyle w:val="9"/>
        <w:numPr>
          <w:ilvl w:val="0"/>
          <w:numId w:val="0"/>
        </w:numPr>
        <w:spacing w:line="540" w:lineRule="exact"/>
        <w:rPr>
          <w:rStyle w:val="6"/>
          <w:rFonts w:hint="eastAsia" w:ascii="楷体_GB2312" w:hAnsi="楷体_GB2312" w:eastAsia="楷体_GB2312" w:cs="楷体_GB2312"/>
          <w:color w:val="000000"/>
          <w:spacing w:val="-4"/>
          <w:sz w:val="32"/>
          <w:szCs w:val="32"/>
        </w:rPr>
      </w:pPr>
      <w:r>
        <w:rPr>
          <w:rStyle w:val="6"/>
          <w:rFonts w:hint="eastAsia" w:ascii="楷体_GB2312" w:hAnsi="楷体_GB2312" w:eastAsia="楷体_GB2312" w:cs="楷体_GB2312"/>
          <w:color w:val="000000"/>
          <w:spacing w:val="-4"/>
          <w:sz w:val="32"/>
          <w:szCs w:val="32"/>
          <w:lang w:eastAsia="zh-CN"/>
        </w:rPr>
        <w:t>（六）</w:t>
      </w:r>
      <w:r>
        <w:rPr>
          <w:rStyle w:val="6"/>
          <w:rFonts w:hint="eastAsia" w:ascii="楷体_GB2312" w:hAnsi="楷体_GB2312" w:eastAsia="楷体_GB2312" w:cs="楷体_GB2312"/>
          <w:color w:val="000000"/>
          <w:spacing w:val="-4"/>
          <w:sz w:val="32"/>
          <w:szCs w:val="32"/>
        </w:rPr>
        <w:t>失业基金预算完成及运行情况分析</w:t>
      </w:r>
    </w:p>
    <w:p>
      <w:pPr>
        <w:numPr>
          <w:ilvl w:val="0"/>
          <w:numId w:val="0"/>
        </w:numPr>
        <w:spacing w:line="540" w:lineRule="exact"/>
        <w:ind w:firstLine="624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eastAsia="zh-CN"/>
        </w:rPr>
        <w:t>由州局统一填报</w:t>
      </w:r>
    </w:p>
    <w:p>
      <w:pPr>
        <w:spacing w:line="540" w:lineRule="exact"/>
        <w:rPr>
          <w:rStyle w:val="6"/>
          <w:rFonts w:hint="eastAsia" w:ascii="楷体_GB2312" w:hAnsi="楷体_GB2312" w:eastAsia="楷体_GB2312" w:cs="楷体_GB2312"/>
          <w:color w:val="auto"/>
          <w:spacing w:val="-4"/>
          <w:sz w:val="32"/>
          <w:szCs w:val="32"/>
        </w:rPr>
      </w:pPr>
      <w:r>
        <w:rPr>
          <w:rStyle w:val="6"/>
          <w:rFonts w:hint="eastAsia" w:ascii="楷体_GB2312" w:hAnsi="楷体_GB2312" w:eastAsia="楷体_GB2312" w:cs="楷体_GB2312"/>
          <w:color w:val="auto"/>
          <w:spacing w:val="-4"/>
          <w:sz w:val="32"/>
          <w:szCs w:val="32"/>
          <w:lang w:eastAsia="zh-CN"/>
        </w:rPr>
        <w:t>（七）</w:t>
      </w:r>
      <w:r>
        <w:rPr>
          <w:rStyle w:val="6"/>
          <w:rFonts w:hint="eastAsia" w:ascii="楷体_GB2312" w:hAnsi="楷体_GB2312" w:eastAsia="楷体_GB2312" w:cs="楷体_GB2312"/>
          <w:color w:val="auto"/>
          <w:spacing w:val="-4"/>
          <w:sz w:val="32"/>
          <w:szCs w:val="32"/>
        </w:rPr>
        <w:t>工伤基金预算完成及运行情况分析</w:t>
      </w:r>
    </w:p>
    <w:p>
      <w:pPr>
        <w:numPr>
          <w:ilvl w:val="0"/>
          <w:numId w:val="0"/>
        </w:numPr>
        <w:spacing w:line="540" w:lineRule="exact"/>
        <w:ind w:firstLine="62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eastAsia="zh-CN"/>
        </w:rPr>
        <w:t>由州局统一填报</w:t>
      </w:r>
    </w:p>
    <w:p>
      <w:pPr>
        <w:spacing w:line="540" w:lineRule="exact"/>
        <w:jc w:val="center"/>
        <w:rPr>
          <w:rStyle w:val="6"/>
          <w:rFonts w:hint="eastAsia" w:ascii="宋体" w:hAnsi="宋体" w:eastAsia="宋体" w:cs="宋体"/>
          <w:b/>
          <w:bCs/>
          <w:color w:val="auto"/>
          <w:spacing w:val="-4"/>
          <w:sz w:val="32"/>
          <w:szCs w:val="32"/>
        </w:rPr>
      </w:pPr>
      <w:r>
        <w:rPr>
          <w:rStyle w:val="6"/>
          <w:rFonts w:hint="eastAsia" w:ascii="黑体" w:hAnsi="黑体" w:eastAsia="黑体" w:cs="黑体"/>
          <w:b/>
          <w:bCs/>
          <w:color w:val="auto"/>
          <w:spacing w:val="-4"/>
          <w:sz w:val="32"/>
          <w:szCs w:val="32"/>
        </w:rPr>
        <w:t>三、各项社会保险基金支出组织实施情况和绩效管理情况</w:t>
      </w:r>
    </w:p>
    <w:p>
      <w:pPr>
        <w:spacing w:line="540" w:lineRule="exact"/>
        <w:ind w:firstLine="567"/>
        <w:rPr>
          <w:rStyle w:val="6"/>
          <w:rFonts w:hint="eastAsia" w:ascii="宋体" w:hAnsi="宋体" w:eastAsia="宋体" w:cs="宋体"/>
          <w:color w:val="auto"/>
          <w:spacing w:val="-4"/>
          <w:sz w:val="32"/>
          <w:szCs w:val="32"/>
        </w:rPr>
      </w:pPr>
      <w:r>
        <w:rPr>
          <w:rStyle w:val="6"/>
          <w:rFonts w:hint="eastAsia" w:ascii="楷体_GB2312" w:hAnsi="楷体_GB2312" w:eastAsia="楷体_GB2312" w:cs="楷体_GB2312"/>
          <w:color w:val="auto"/>
          <w:spacing w:val="-4"/>
          <w:sz w:val="32"/>
          <w:szCs w:val="32"/>
        </w:rPr>
        <w:t>（一）社会保险管理情况分析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我局先后编制印发《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特克斯县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社会保险经办内控制度与经办规程汇编》、《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特克斯县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社保局岗位职责汇编》和《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特克斯县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社保业务经办管理规程》等文件。明确了责任主体、风险管理“一把手”责任制；印发了《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特克斯县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社会保险管理局责任追究制度》，建立局务会议、组织决策、业务运行控制、基金财务管理、信息系统管理、档案管理、信息公开披露、业务经办人员过错责任追究等相关内控制度，用制度管人管事。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照分工合理，权责统一的原则。我局建立内部业务制衡机制。岗位设置按照不相容职务相互分离的原则，各业务科室内部明确了岗位相应的工作流程、工作规范，设置完善了审核岗、复核岗、科室负责岗，基金财务部门会计、出纳分设。形成了相互分离、相互制约的管理、经办、监督各环节明确的内控机制。按要求，重新对岗位风险进行了识别和评估，不同岗位的设置和风险等级。目前我局未出现多岗位一人兼任的现象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业务经办管理规程中，明确了岗位及人员的权限责任的授权范围。各科室以监督相分离的原则设置组织机构。各科室负责人、关键岗位人员实行定期轮岗制度，重要岗位实行任职回避制度，保持了具体经办岗位人员的相对稳定。目前我局在业务系统中不能直接生成系统报表，统计报表填写均有由业务科室提供基础数据，再有统计人员综合数据上报州社保局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每季度核查上报的社保基金网络监督预警信息，均有州人社局转发提供的预警内容。社保局将对提供的预警疑似信息进行逐一核实排查，核查结果上报人社局基金监督科。</w:t>
      </w:r>
    </w:p>
    <w:p>
      <w:pPr>
        <w:spacing w:line="540" w:lineRule="exact"/>
        <w:ind w:firstLine="567"/>
        <w:rPr>
          <w:rStyle w:val="6"/>
          <w:rFonts w:hint="eastAsia" w:ascii="楷体_GB2312" w:hAnsi="楷体_GB2312" w:eastAsia="楷体_GB2312" w:cs="楷体_GB2312"/>
          <w:color w:val="auto"/>
          <w:spacing w:val="-4"/>
          <w:sz w:val="32"/>
          <w:szCs w:val="32"/>
        </w:rPr>
      </w:pPr>
      <w:r>
        <w:rPr>
          <w:rStyle w:val="6"/>
          <w:rFonts w:hint="eastAsia" w:ascii="楷体_GB2312" w:hAnsi="楷体_GB2312" w:eastAsia="楷体_GB2312" w:cs="楷体_GB2312"/>
          <w:color w:val="auto"/>
          <w:spacing w:val="-4"/>
          <w:sz w:val="32"/>
          <w:szCs w:val="32"/>
        </w:rPr>
        <w:t>（二）绩效目标完成情况分析</w:t>
      </w:r>
    </w:p>
    <w:p>
      <w:pPr>
        <w:ind w:firstLine="624" w:firstLineChars="200"/>
        <w:rPr>
          <w:rStyle w:val="6"/>
          <w:rFonts w:hint="eastAsia" w:ascii="仿宋_GB2312" w:hAnsi="仿宋_GB2312" w:eastAsia="仿宋_GB2312" w:cs="仿宋_GB2312"/>
          <w:b w:val="0"/>
          <w:bCs w:val="0"/>
          <w:color w:val="4F81BD"/>
          <w:spacing w:val="-4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  <w:lang w:eastAsia="zh-CN"/>
        </w:rPr>
        <w:t>202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  <w:lang w:val="en-US" w:eastAsia="zh-CN"/>
        </w:rPr>
        <w:t>1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</w:rPr>
        <w:t>年预算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  <w:lang w:val="en-US" w:eastAsia="zh-CN"/>
        </w:rPr>
        <w:t>22939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</w:rPr>
        <w:t>万元，实际执行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  <w:highlight w:val="none"/>
        </w:rPr>
        <w:t>数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  <w:highlight w:val="none"/>
          <w:lang w:val="en-US" w:eastAsia="zh-CN"/>
        </w:rPr>
        <w:t>24297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  <w:highlight w:val="none"/>
        </w:rPr>
        <w:t>万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</w:rPr>
        <w:t>元，完成预算绩效目标的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  <w:lang w:val="en-US" w:eastAsia="zh-CN"/>
        </w:rPr>
        <w:t>105.92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</w:rPr>
        <w:t>%，基本实现了年初预算绩效目标任务。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企业职工基本养老保险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eastAsia="zh-CN"/>
        </w:rPr>
        <w:t>由州局统一填报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2、机关事业单位养老保险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red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积极落实惠民政策调整提高退休人员养老金水平，全年机关事业单位离退休人员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3370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人，较上年增加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城乡居民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基本养老保险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积极落实惠民政策调整提高退休人员养老金水平，全年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城乡居民养老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退休人员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9616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人，较上年增加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城镇职工基本医疗保险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eastAsia="zh-CN"/>
        </w:rPr>
        <w:t>由州局统一填报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、城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乡居民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基本医疗保险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eastAsia="zh-CN"/>
        </w:rPr>
        <w:t>由州局统一填报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、工伤保险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eastAsia="zh-CN"/>
        </w:rPr>
        <w:t>由州局统一填报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、失业保险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eastAsia="zh-CN"/>
        </w:rPr>
        <w:t>由州局统一填报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截止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年年末企业养老累计结余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万元，可支持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个月待遇水平；机关养老累计结余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1299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万元，可支付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0.7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个月待遇水平；居民养老累计结余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12285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万元，可以支付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74.78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个月待遇水平，失业累计结余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万元，可支付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个月待遇水平，工伤累计结余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万元，可支付待遇水平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个月。总体基金运行待遇良好。</w:t>
      </w:r>
    </w:p>
    <w:p>
      <w:pPr>
        <w:spacing w:line="540" w:lineRule="exact"/>
        <w:ind w:firstLine="640"/>
        <w:rPr>
          <w:rStyle w:val="6"/>
          <w:rFonts w:hint="eastAsia" w:ascii="黑体" w:hAnsi="黑体" w:eastAsia="黑体" w:cs="黑体"/>
          <w:b w:val="0"/>
          <w:bCs w:val="0"/>
          <w:color w:val="auto"/>
          <w:spacing w:val="-4"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 w:val="0"/>
          <w:color w:val="auto"/>
          <w:spacing w:val="-4"/>
          <w:sz w:val="32"/>
          <w:szCs w:val="32"/>
        </w:rPr>
        <w:t>四、其他需要说明的问题</w:t>
      </w:r>
    </w:p>
    <w:p>
      <w:pPr>
        <w:spacing w:line="540" w:lineRule="exact"/>
        <w:ind w:firstLine="567"/>
        <w:rPr>
          <w:rStyle w:val="6"/>
          <w:rFonts w:hint="eastAsia" w:ascii="楷体_GB2312" w:hAnsi="楷体_GB2312" w:eastAsia="楷体_GB2312" w:cs="楷体_GB2312"/>
          <w:color w:val="auto"/>
          <w:spacing w:val="-4"/>
          <w:sz w:val="32"/>
          <w:szCs w:val="32"/>
        </w:rPr>
      </w:pPr>
      <w:r>
        <w:rPr>
          <w:rStyle w:val="6"/>
          <w:rFonts w:hint="eastAsia" w:ascii="楷体_GB2312" w:hAnsi="楷体_GB2312" w:eastAsia="楷体_GB2312" w:cs="楷体_GB2312"/>
          <w:color w:val="auto"/>
          <w:spacing w:val="-4"/>
          <w:sz w:val="32"/>
          <w:szCs w:val="32"/>
        </w:rPr>
        <w:t>（一）后续工作计划</w:t>
      </w:r>
    </w:p>
    <w:p>
      <w:pPr>
        <w:spacing w:line="540" w:lineRule="exact"/>
        <w:ind w:firstLine="567"/>
        <w:rPr>
          <w:rStyle w:val="6"/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</w:rPr>
        <w:t>今后的工作中，我局将严守基金红线，确保基金收支两条线，严格执行基金收支全程电子化。同时进一步强化全体干部职工责任压力，将责任扛在肩上、落在实处；加强内控稽核与基金安全自查回头看工作。</w:t>
      </w:r>
    </w:p>
    <w:p>
      <w:pPr>
        <w:numPr>
          <w:ilvl w:val="0"/>
          <w:numId w:val="2"/>
        </w:numPr>
        <w:spacing w:line="540" w:lineRule="exact"/>
        <w:ind w:firstLine="567"/>
        <w:rPr>
          <w:rStyle w:val="6"/>
          <w:rFonts w:hint="eastAsia" w:ascii="楷体_GB2312" w:hAnsi="楷体_GB2312" w:eastAsia="楷体_GB2312" w:cs="楷体_GB2312"/>
          <w:color w:val="auto"/>
          <w:spacing w:val="-4"/>
          <w:sz w:val="32"/>
          <w:szCs w:val="32"/>
        </w:rPr>
      </w:pPr>
      <w:r>
        <w:rPr>
          <w:rStyle w:val="6"/>
          <w:rFonts w:hint="eastAsia" w:ascii="楷体_GB2312" w:hAnsi="楷体_GB2312" w:eastAsia="楷体_GB2312" w:cs="楷体_GB2312"/>
          <w:color w:val="auto"/>
          <w:spacing w:val="-4"/>
          <w:sz w:val="32"/>
          <w:szCs w:val="32"/>
        </w:rPr>
        <w:t>主要经验及做法</w:t>
      </w:r>
    </w:p>
    <w:p>
      <w:pPr>
        <w:numPr>
          <w:ilvl w:val="0"/>
          <w:numId w:val="3"/>
        </w:numPr>
        <w:spacing w:line="540" w:lineRule="exact"/>
        <w:ind w:firstLine="940" w:firstLineChars="300"/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-4"/>
          <w:sz w:val="32"/>
          <w:szCs w:val="32"/>
        </w:rPr>
        <w:t>主要经验与做法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eastAsia="zh-CN"/>
        </w:rPr>
        <w:t>我县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所有基金收支实现全程电子化，待遇支付按三级经办的要求严格审核，基金支出须经过受理、审核、复核、科长审批、稽核、财务审核、分管领导审批，最后通过财务通过进行支付，确保基金安全。</w:t>
      </w:r>
    </w:p>
    <w:p>
      <w:pPr>
        <w:spacing w:line="540" w:lineRule="exact"/>
        <w:ind w:left="630" w:leftChars="300" w:firstLine="312" w:firstLineChars="100"/>
        <w:rPr>
          <w:rStyle w:val="6"/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</w:rPr>
        <w:t>2</w:t>
      </w:r>
      <w:r>
        <w:rPr>
          <w:rStyle w:val="6"/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.存在问题：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</w:rPr>
        <w:t>无</w:t>
      </w:r>
    </w:p>
    <w:p>
      <w:pPr>
        <w:spacing w:line="540" w:lineRule="exact"/>
        <w:ind w:left="630" w:leftChars="300" w:firstLine="312" w:firstLineChars="100"/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</w:rPr>
        <w:t>3</w:t>
      </w:r>
      <w:r>
        <w:rPr>
          <w:rStyle w:val="6"/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.建议：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</w:rPr>
        <w:t>无</w:t>
      </w:r>
    </w:p>
    <w:p>
      <w:pPr>
        <w:numPr>
          <w:ilvl w:val="0"/>
          <w:numId w:val="4"/>
        </w:numPr>
        <w:spacing w:line="540" w:lineRule="exact"/>
        <w:ind w:left="63" w:leftChars="0" w:firstLine="567" w:firstLineChars="0"/>
        <w:rPr>
          <w:rStyle w:val="6"/>
          <w:rFonts w:hint="eastAsia" w:ascii="仿宋_GB2312" w:hAnsi="仿宋_GB2312" w:eastAsia="仿宋_GB2312" w:cs="仿宋_GB2312"/>
          <w:b/>
          <w:bCs/>
          <w:color w:val="auto"/>
          <w:spacing w:val="-4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color w:val="auto"/>
          <w:spacing w:val="-4"/>
          <w:sz w:val="32"/>
          <w:szCs w:val="32"/>
        </w:rPr>
        <w:t>其他</w:t>
      </w:r>
      <w:r>
        <w:rPr>
          <w:rStyle w:val="6"/>
          <w:rFonts w:hint="eastAsia" w:ascii="仿宋_GB2312" w:hAnsi="仿宋_GB2312" w:eastAsia="仿宋_GB2312" w:cs="仿宋_GB2312"/>
          <w:b/>
          <w:bCs/>
          <w:color w:val="auto"/>
          <w:spacing w:val="-4"/>
          <w:sz w:val="32"/>
          <w:szCs w:val="32"/>
          <w:lang w:val="en-US" w:eastAsia="zh-CN"/>
        </w:rPr>
        <w:t xml:space="preserve"> 无</w:t>
      </w:r>
    </w:p>
    <w:p>
      <w:pPr>
        <w:spacing w:line="540" w:lineRule="exact"/>
        <w:ind w:firstLine="624" w:firstLineChars="200"/>
        <w:rPr>
          <w:rStyle w:val="6"/>
          <w:rFonts w:hint="eastAsia" w:ascii="黑体" w:hAnsi="黑体" w:eastAsia="黑体" w:cs="黑体"/>
          <w:b w:val="0"/>
          <w:bCs w:val="0"/>
          <w:color w:val="auto"/>
          <w:spacing w:val="-4"/>
          <w:sz w:val="32"/>
          <w:szCs w:val="32"/>
        </w:rPr>
      </w:pPr>
      <w:bookmarkStart w:id="0" w:name="_GoBack"/>
      <w:bookmarkEnd w:id="0"/>
      <w:r>
        <w:rPr>
          <w:rStyle w:val="6"/>
          <w:rFonts w:hint="eastAsia" w:ascii="黑体" w:hAnsi="黑体" w:eastAsia="黑体" w:cs="黑体"/>
          <w:b w:val="0"/>
          <w:bCs w:val="0"/>
          <w:color w:val="auto"/>
          <w:spacing w:val="-4"/>
          <w:sz w:val="32"/>
          <w:szCs w:val="32"/>
        </w:rPr>
        <w:t>五、附表</w:t>
      </w:r>
    </w:p>
    <w:p>
      <w:pPr>
        <w:spacing w:line="540" w:lineRule="exact"/>
        <w:ind w:firstLine="567"/>
        <w:jc w:val="center"/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自治区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eastAsia="zh-CN"/>
        </w:rPr>
        <w:t>特克斯县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社会保险支出绩效自评表</w:t>
      </w:r>
    </w:p>
    <w:p>
      <w:pPr>
        <w:spacing w:line="540" w:lineRule="exact"/>
        <w:ind w:firstLine="567"/>
        <w:rPr>
          <w:rFonts w:hint="eastAsia" w:ascii="宋体" w:hAnsi="宋体" w:eastAsia="宋体" w:cs="宋体"/>
          <w:color w:val="auto"/>
          <w:spacing w:val="-4"/>
          <w:sz w:val="32"/>
          <w:szCs w:val="32"/>
        </w:rPr>
      </w:pPr>
    </w:p>
    <w:p>
      <w:pPr>
        <w:spacing w:line="540" w:lineRule="exact"/>
        <w:ind w:firstLine="567"/>
        <w:rPr>
          <w:rFonts w:hint="eastAsia" w:ascii="宋体" w:hAnsi="宋体" w:eastAsia="宋体" w:cs="宋体"/>
          <w:color w:val="auto"/>
          <w:spacing w:val="-4"/>
          <w:sz w:val="32"/>
          <w:szCs w:val="32"/>
        </w:rPr>
      </w:pPr>
    </w:p>
    <w:tbl>
      <w:tblPr>
        <w:tblStyle w:val="4"/>
        <w:tblW w:w="902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40"/>
        <w:gridCol w:w="1368"/>
        <w:gridCol w:w="1072"/>
        <w:gridCol w:w="880"/>
        <w:gridCol w:w="2060"/>
        <w:gridCol w:w="17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特克斯县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  <w:t>社会保险支出绩效自评表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57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社会保险基金支出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社会保险基金预算支出部门</w:t>
            </w:r>
          </w:p>
        </w:tc>
        <w:tc>
          <w:tcPr>
            <w:tcW w:w="57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特克斯县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社会保险管理局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预算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执行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情况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5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预算数：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22939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执行数：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24297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其中：社会保险基金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22939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其中：社会保险基金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24297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年度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目标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完成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情况</w:t>
            </w:r>
          </w:p>
        </w:tc>
        <w:tc>
          <w:tcPr>
            <w:tcW w:w="44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3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实际完成目标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4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为切实贯彻《社会保险法》、《社会保险费征缴暂行条例》保障广大参保人员合法权益，确保各项社会保险待遇按时、足额发放。实现老有所养、病有所医，失业、工伤、生育时有社会保险提供的保障，严格执行社会保险各项政策，使参保人员的获得感、幸福感不断增强，促进实现新疆社会稳定和长治久安总目标。</w:t>
            </w:r>
          </w:p>
        </w:tc>
        <w:tc>
          <w:tcPr>
            <w:tcW w:w="3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为切实贯彻《社会保险法》、《社会保险费征缴暂行条例》保障广大参保人员合法权益，确保各项社会保险待遇按时、足额发放。实现老有所养，失业、工伤时有社会保险提供的保障，严格执行社会保险各项政策，使参保人员的获得感、幸福感不断增强，促进实现新疆社会稳定和长治久安总目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年度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绩效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指标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完成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情况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预期指标值（包含数字及文字描述）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实际完成指标值（包含数字及文字描述）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36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按标准足额保障参保人员待遇支出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≥9</w:t>
            </w:r>
            <w:r>
              <w:rPr>
                <w:rStyle w:val="11"/>
                <w:rFonts w:hint="eastAsia" w:ascii="宋体" w:hAnsi="宋体" w:eastAsia="宋体" w:cs="宋体"/>
                <w:color w:val="auto"/>
              </w:rPr>
              <w:t>9%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100</w:t>
            </w:r>
            <w:r>
              <w:rPr>
                <w:rStyle w:val="11"/>
                <w:rFonts w:hint="eastAsia" w:ascii="宋体" w:hAnsi="宋体" w:eastAsia="宋体" w:cs="宋体"/>
                <w:color w:val="auto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按时报送各项社会保险基金季报数据及分析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每季度结束后的，1</w:t>
            </w:r>
            <w:r>
              <w:rPr>
                <w:rStyle w:val="11"/>
                <w:rFonts w:hint="eastAsia" w:ascii="宋体" w:hAnsi="宋体" w:eastAsia="宋体" w:cs="宋体"/>
                <w:color w:val="auto"/>
              </w:rPr>
              <w:t>5日内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每季度结束后的，1</w:t>
            </w:r>
            <w:r>
              <w:rPr>
                <w:rStyle w:val="11"/>
                <w:rFonts w:hint="eastAsia" w:ascii="宋体" w:hAnsi="宋体" w:eastAsia="宋体" w:cs="宋体"/>
                <w:color w:val="auto"/>
              </w:rPr>
              <w:t>5日内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及时报送各项社会保险基金决算数据及分析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每年度结束后的，20日内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每年度结束后的，20日内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6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及时拨款，保障参加社会保险的各项社会保险待遇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Style w:val="11"/>
                <w:rFonts w:hint="eastAsia" w:ascii="宋体" w:hAnsi="宋体" w:eastAsia="宋体" w:cs="宋体"/>
                <w:color w:val="auto"/>
              </w:rPr>
              <w:t>0日内完成审核拨付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Style w:val="11"/>
                <w:rFonts w:hint="eastAsia" w:ascii="宋体" w:hAnsi="宋体" w:eastAsia="宋体" w:cs="宋体"/>
                <w:color w:val="auto"/>
              </w:rPr>
              <w:t>0日内完成审核拨付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6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养老保险基金支出预算完成率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≥95</w:t>
            </w:r>
            <w:r>
              <w:rPr>
                <w:rStyle w:val="11"/>
                <w:rFonts w:hint="eastAsia" w:ascii="宋体" w:hAnsi="宋体" w:eastAsia="宋体" w:cs="宋体"/>
                <w:color w:val="auto"/>
              </w:rPr>
              <w:t>%或≤105%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68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工伤保险基金支出预算完成率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≥90%或≤</w:t>
            </w:r>
            <w:r>
              <w:rPr>
                <w:rStyle w:val="11"/>
                <w:rFonts w:hint="eastAsia" w:ascii="宋体" w:hAnsi="宋体" w:eastAsia="宋体" w:cs="宋体"/>
                <w:color w:val="auto"/>
              </w:rPr>
              <w:t>110%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68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失业保险基金支出预算完成率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≥90%或≤110%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6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保障企业职工基本养老保险退休待遇享受人数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Style w:val="11"/>
                <w:rFonts w:hint="eastAsia" w:ascii="宋体" w:hAnsi="宋体" w:eastAsia="宋体" w:cs="宋体"/>
                <w:color w:val="auto"/>
              </w:rPr>
              <w:t>人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Style w:val="11"/>
                <w:rFonts w:hint="eastAsia" w:ascii="宋体" w:hAnsi="宋体" w:eastAsia="宋体" w:cs="宋体"/>
                <w:color w:val="auto"/>
                <w:lang w:val="en-US" w:eastAsia="zh-CN"/>
              </w:rPr>
              <w:t>0</w:t>
            </w:r>
            <w:r>
              <w:rPr>
                <w:rStyle w:val="11"/>
                <w:rFonts w:hint="eastAsia" w:ascii="宋体" w:hAnsi="宋体" w:eastAsia="宋体" w:cs="宋体"/>
                <w:color w:val="auto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6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保障机关事业单位基本养老保险退休待遇享受人数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red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3370</w:t>
            </w:r>
            <w:r>
              <w:rPr>
                <w:rStyle w:val="11"/>
                <w:rFonts w:hint="eastAsia" w:ascii="宋体" w:hAnsi="宋体" w:eastAsia="宋体" w:cs="宋体"/>
                <w:color w:val="auto"/>
                <w:highlight w:val="none"/>
              </w:rPr>
              <w:t>人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red"/>
              </w:rPr>
            </w:pPr>
            <w:r>
              <w:rPr>
                <w:rStyle w:val="11"/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3370</w:t>
            </w:r>
            <w:r>
              <w:rPr>
                <w:rStyle w:val="11"/>
                <w:rFonts w:hint="eastAsia" w:ascii="宋体" w:hAnsi="宋体" w:eastAsia="宋体" w:cs="宋体"/>
                <w:color w:val="auto"/>
                <w:highlight w:val="none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6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保障工伤保险待遇享受人数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Style w:val="11"/>
                <w:rFonts w:hint="eastAsia" w:ascii="宋体" w:hAnsi="宋体" w:eastAsia="宋体" w:cs="宋体"/>
                <w:color w:val="auto"/>
              </w:rPr>
              <w:t>人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Style w:val="11"/>
                <w:rFonts w:hint="eastAsia" w:ascii="宋体" w:hAnsi="宋体" w:eastAsia="宋体" w:cs="宋体"/>
                <w:color w:val="auto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6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职工医疗保险基金支出预算完成率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%或≤1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0%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80.50%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6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各项社会保险待遇发放准确率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≥99%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99%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基金使用符合政策规定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100%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36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569"/>
              </w:tabs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企业离退休人员满意度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＞90%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机关事业单位退休人员满意度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＞90%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其他各项社会保险待遇享受人员满意度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＞90%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95%</w:t>
            </w:r>
          </w:p>
        </w:tc>
      </w:tr>
    </w:tbl>
    <w:p>
      <w:pPr>
        <w:rPr>
          <w:color w:val="auto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88D571"/>
    <w:multiLevelType w:val="singleLevel"/>
    <w:tmpl w:val="D688D571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00000000"/>
    <w:multiLevelType w:val="singleLevel"/>
    <w:tmpl w:val="00000000"/>
    <w:lvl w:ilvl="0" w:tentative="0">
      <w:start w:val="3"/>
      <w:numFmt w:val="chineseCounting"/>
      <w:suff w:val="nothing"/>
      <w:lvlText w:val="（%1）"/>
      <w:lvlJc w:val="left"/>
      <w:pPr>
        <w:ind w:left="63"/>
      </w:pPr>
      <w:rPr>
        <w:rFonts w:hint="eastAsia"/>
      </w:rPr>
    </w:lvl>
  </w:abstractNum>
  <w:abstractNum w:abstractNumId="2">
    <w:nsid w:val="00000001"/>
    <w:multiLevelType w:val="singleLevel"/>
    <w:tmpl w:val="0000000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00000002"/>
    <w:multiLevelType w:val="singleLevel"/>
    <w:tmpl w:val="000000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66191"/>
    <w:rsid w:val="007C6137"/>
    <w:rsid w:val="0262729E"/>
    <w:rsid w:val="02EC419C"/>
    <w:rsid w:val="031A02B4"/>
    <w:rsid w:val="06147183"/>
    <w:rsid w:val="067D2746"/>
    <w:rsid w:val="067D476C"/>
    <w:rsid w:val="06A81ED7"/>
    <w:rsid w:val="07175FAF"/>
    <w:rsid w:val="08006EFA"/>
    <w:rsid w:val="08384330"/>
    <w:rsid w:val="08D30F0C"/>
    <w:rsid w:val="096F5AC8"/>
    <w:rsid w:val="098D0451"/>
    <w:rsid w:val="0BE9488A"/>
    <w:rsid w:val="0C625905"/>
    <w:rsid w:val="0CA70F92"/>
    <w:rsid w:val="0CC23E62"/>
    <w:rsid w:val="0D5E61EE"/>
    <w:rsid w:val="0D7E553C"/>
    <w:rsid w:val="10C92653"/>
    <w:rsid w:val="13DC7077"/>
    <w:rsid w:val="15CC4DAD"/>
    <w:rsid w:val="18A95E33"/>
    <w:rsid w:val="1C071CAF"/>
    <w:rsid w:val="1D2E1106"/>
    <w:rsid w:val="1D3B17D3"/>
    <w:rsid w:val="1D754DB2"/>
    <w:rsid w:val="1DA8382E"/>
    <w:rsid w:val="1F4D499E"/>
    <w:rsid w:val="21DF1DB8"/>
    <w:rsid w:val="22512A50"/>
    <w:rsid w:val="236B76D6"/>
    <w:rsid w:val="23EF3715"/>
    <w:rsid w:val="25A570A0"/>
    <w:rsid w:val="268A1F12"/>
    <w:rsid w:val="275C7314"/>
    <w:rsid w:val="299C6085"/>
    <w:rsid w:val="2AAC4F8D"/>
    <w:rsid w:val="2C886ED7"/>
    <w:rsid w:val="2D68647B"/>
    <w:rsid w:val="2E905D19"/>
    <w:rsid w:val="301C3505"/>
    <w:rsid w:val="318515E7"/>
    <w:rsid w:val="320058D8"/>
    <w:rsid w:val="3746170B"/>
    <w:rsid w:val="37696CB2"/>
    <w:rsid w:val="396232C9"/>
    <w:rsid w:val="39BE3530"/>
    <w:rsid w:val="3AF345B2"/>
    <w:rsid w:val="3DE50FC6"/>
    <w:rsid w:val="3FDF0835"/>
    <w:rsid w:val="410D70F0"/>
    <w:rsid w:val="42E045F9"/>
    <w:rsid w:val="43797B8C"/>
    <w:rsid w:val="43D97522"/>
    <w:rsid w:val="46D612C6"/>
    <w:rsid w:val="47415473"/>
    <w:rsid w:val="474A5F75"/>
    <w:rsid w:val="47BE5F31"/>
    <w:rsid w:val="49852B5D"/>
    <w:rsid w:val="4A17661D"/>
    <w:rsid w:val="4BA81560"/>
    <w:rsid w:val="4CAC16D6"/>
    <w:rsid w:val="4CF50B49"/>
    <w:rsid w:val="4D043A2F"/>
    <w:rsid w:val="4D5D0D4F"/>
    <w:rsid w:val="4F8343F7"/>
    <w:rsid w:val="518A11C1"/>
    <w:rsid w:val="53114D9E"/>
    <w:rsid w:val="54A22540"/>
    <w:rsid w:val="5608738E"/>
    <w:rsid w:val="5645604F"/>
    <w:rsid w:val="56B53AEE"/>
    <w:rsid w:val="572B01BA"/>
    <w:rsid w:val="58CC1002"/>
    <w:rsid w:val="58E3386D"/>
    <w:rsid w:val="58EE50AC"/>
    <w:rsid w:val="59A30016"/>
    <w:rsid w:val="5B0D1D4A"/>
    <w:rsid w:val="5CE04AA8"/>
    <w:rsid w:val="613512DD"/>
    <w:rsid w:val="615E727F"/>
    <w:rsid w:val="63304A43"/>
    <w:rsid w:val="64463532"/>
    <w:rsid w:val="64FE3C10"/>
    <w:rsid w:val="65F858D9"/>
    <w:rsid w:val="67826186"/>
    <w:rsid w:val="67D356E7"/>
    <w:rsid w:val="681864B9"/>
    <w:rsid w:val="68B46014"/>
    <w:rsid w:val="68C80A3B"/>
    <w:rsid w:val="68E57EE1"/>
    <w:rsid w:val="694A16B9"/>
    <w:rsid w:val="6A0936BF"/>
    <w:rsid w:val="6A1C05ED"/>
    <w:rsid w:val="70934B31"/>
    <w:rsid w:val="721322A4"/>
    <w:rsid w:val="72D65DBA"/>
    <w:rsid w:val="736F70CC"/>
    <w:rsid w:val="739A2C5E"/>
    <w:rsid w:val="74A0167B"/>
    <w:rsid w:val="77826D89"/>
    <w:rsid w:val="78383BD9"/>
    <w:rsid w:val="78A90CEB"/>
    <w:rsid w:val="7ABF3042"/>
    <w:rsid w:val="7AFF0A18"/>
    <w:rsid w:val="7B831085"/>
    <w:rsid w:val="7BF2661B"/>
    <w:rsid w:val="7DB1559D"/>
    <w:rsid w:val="7FA26D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99"/>
    <w:rPr>
      <w:b/>
      <w:bCs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眉 Char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font0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3934</Words>
  <Characters>4313</Characters>
  <Paragraphs>346</Paragraphs>
  <TotalTime>17</TotalTime>
  <ScaleCrop>false</ScaleCrop>
  <LinksUpToDate>false</LinksUpToDate>
  <CharactersWithSpaces>4320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2019-08-27T02:39:00Z</dcterms:created>
  <dc:creator>Administrator</dc:creator>
  <cp:lastModifiedBy>Administrator</cp:lastModifiedBy>
  <dcterms:modified xsi:type="dcterms:W3CDTF">2022-10-26T10:10:41Z</dcterms:modified>
  <dc:title>附件：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51A47E86364C4D4A8F2F1DAD467379F0</vt:lpwstr>
  </property>
</Properties>
</file>