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FFDE" w14:textId="77777777" w:rsidR="00B30C15" w:rsidRDefault="00DB6A4D">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w:t>
      </w:r>
      <w:r>
        <w:rPr>
          <w:rFonts w:ascii="仿宋" w:eastAsia="仿宋" w:hAnsi="仿宋" w:cs="宋体" w:hint="eastAsia"/>
          <w:kern w:val="0"/>
          <w:sz w:val="32"/>
          <w:szCs w:val="32"/>
        </w:rPr>
        <w:t>2</w:t>
      </w:r>
      <w:r>
        <w:rPr>
          <w:rFonts w:ascii="仿宋" w:eastAsia="仿宋" w:hAnsi="仿宋" w:cs="宋体" w:hint="eastAsia"/>
          <w:kern w:val="0"/>
          <w:sz w:val="32"/>
          <w:szCs w:val="32"/>
        </w:rPr>
        <w:t>：</w:t>
      </w:r>
    </w:p>
    <w:p w14:paraId="1359DBB7" w14:textId="77777777" w:rsidR="00B30C15" w:rsidRDefault="00B30C15">
      <w:pPr>
        <w:spacing w:line="540" w:lineRule="exact"/>
        <w:jc w:val="center"/>
        <w:rPr>
          <w:rFonts w:ascii="华文中宋" w:eastAsia="华文中宋" w:hAnsi="华文中宋" w:cs="宋体"/>
          <w:b/>
          <w:kern w:val="0"/>
          <w:sz w:val="52"/>
          <w:szCs w:val="52"/>
        </w:rPr>
      </w:pPr>
    </w:p>
    <w:p w14:paraId="794EBCE4" w14:textId="77777777" w:rsidR="00B30C15" w:rsidRDefault="00B30C15">
      <w:pPr>
        <w:spacing w:line="540" w:lineRule="exact"/>
        <w:jc w:val="center"/>
        <w:rPr>
          <w:rFonts w:ascii="华文中宋" w:eastAsia="华文中宋" w:hAnsi="华文中宋" w:cs="宋体"/>
          <w:b/>
          <w:kern w:val="0"/>
          <w:sz w:val="52"/>
          <w:szCs w:val="52"/>
        </w:rPr>
      </w:pPr>
    </w:p>
    <w:p w14:paraId="5CB1669F" w14:textId="77777777" w:rsidR="00B30C15" w:rsidRDefault="00B30C15">
      <w:pPr>
        <w:spacing w:line="540" w:lineRule="exact"/>
        <w:jc w:val="center"/>
        <w:rPr>
          <w:rFonts w:ascii="华文中宋" w:eastAsia="华文中宋" w:hAnsi="华文中宋" w:cs="宋体"/>
          <w:b/>
          <w:kern w:val="0"/>
          <w:sz w:val="52"/>
          <w:szCs w:val="52"/>
        </w:rPr>
      </w:pPr>
    </w:p>
    <w:p w14:paraId="1CBABBE7" w14:textId="77777777" w:rsidR="00B30C15" w:rsidRDefault="00B30C15">
      <w:pPr>
        <w:spacing w:line="540" w:lineRule="exact"/>
        <w:jc w:val="center"/>
        <w:rPr>
          <w:rFonts w:ascii="华文中宋" w:eastAsia="华文中宋" w:hAnsi="华文中宋" w:cs="宋体"/>
          <w:b/>
          <w:kern w:val="0"/>
          <w:sz w:val="52"/>
          <w:szCs w:val="52"/>
        </w:rPr>
      </w:pPr>
    </w:p>
    <w:p w14:paraId="42C7541A" w14:textId="77777777" w:rsidR="00B30C15" w:rsidRDefault="00B30C15">
      <w:pPr>
        <w:spacing w:line="540" w:lineRule="exact"/>
        <w:jc w:val="center"/>
        <w:rPr>
          <w:rFonts w:ascii="华文中宋" w:eastAsia="华文中宋" w:hAnsi="华文中宋" w:cs="宋体"/>
          <w:b/>
          <w:kern w:val="0"/>
          <w:sz w:val="52"/>
          <w:szCs w:val="52"/>
        </w:rPr>
      </w:pPr>
    </w:p>
    <w:p w14:paraId="73F23259" w14:textId="77777777" w:rsidR="00B30C15" w:rsidRDefault="00B30C15">
      <w:pPr>
        <w:spacing w:line="540" w:lineRule="exact"/>
        <w:jc w:val="center"/>
        <w:rPr>
          <w:rFonts w:ascii="华文中宋" w:eastAsia="华文中宋" w:hAnsi="华文中宋" w:cs="宋体"/>
          <w:b/>
          <w:kern w:val="0"/>
          <w:sz w:val="52"/>
          <w:szCs w:val="52"/>
        </w:rPr>
      </w:pPr>
    </w:p>
    <w:p w14:paraId="2D82766C" w14:textId="15BA8B5A" w:rsidR="00B30C15" w:rsidRDefault="00DB6A4D">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105CAE8" w14:textId="77777777" w:rsidR="00B30C15" w:rsidRDefault="00B30C15">
      <w:pPr>
        <w:spacing w:line="540" w:lineRule="exact"/>
        <w:jc w:val="center"/>
        <w:rPr>
          <w:rFonts w:ascii="华文中宋" w:eastAsia="华文中宋" w:hAnsi="华文中宋" w:cs="宋体"/>
          <w:b/>
          <w:kern w:val="0"/>
          <w:sz w:val="52"/>
          <w:szCs w:val="52"/>
        </w:rPr>
      </w:pPr>
    </w:p>
    <w:p w14:paraId="5645C633" w14:textId="77777777" w:rsidR="00B30C15" w:rsidRDefault="00DB6A4D">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2022</w:t>
      </w:r>
      <w:proofErr w:type="spellStart"/>
      <w:proofErr w:type="spellEnd"/>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4DD17AE7" w14:textId="77777777" w:rsidR="00B30C15" w:rsidRDefault="00B30C15">
      <w:pPr>
        <w:spacing w:line="540" w:lineRule="exact"/>
        <w:jc w:val="center"/>
        <w:rPr>
          <w:rFonts w:eastAsia="仿宋_GB2312" w:hAnsi="宋体" w:cs="宋体"/>
          <w:kern w:val="0"/>
          <w:sz w:val="30"/>
          <w:szCs w:val="30"/>
        </w:rPr>
      </w:pPr>
    </w:p>
    <w:p w14:paraId="7864D631" w14:textId="77777777" w:rsidR="00B30C15" w:rsidRDefault="00B30C15">
      <w:pPr>
        <w:spacing w:line="540" w:lineRule="exact"/>
        <w:jc w:val="center"/>
        <w:rPr>
          <w:rFonts w:eastAsia="仿宋_GB2312" w:hAnsi="宋体" w:cs="宋体"/>
          <w:kern w:val="0"/>
          <w:sz w:val="30"/>
          <w:szCs w:val="30"/>
        </w:rPr>
      </w:pPr>
    </w:p>
    <w:p w14:paraId="1951DA0C" w14:textId="77777777" w:rsidR="00B30C15" w:rsidRDefault="00B30C15">
      <w:pPr>
        <w:spacing w:line="540" w:lineRule="exact"/>
        <w:jc w:val="center"/>
        <w:rPr>
          <w:rFonts w:eastAsia="仿宋_GB2312" w:hAnsi="宋体" w:cs="宋体"/>
          <w:kern w:val="0"/>
          <w:sz w:val="30"/>
          <w:szCs w:val="30"/>
        </w:rPr>
      </w:pPr>
    </w:p>
    <w:p w14:paraId="7426BE0C" w14:textId="77777777" w:rsidR="00B30C15" w:rsidRDefault="00B30C15">
      <w:pPr>
        <w:spacing w:line="540" w:lineRule="exact"/>
        <w:jc w:val="center"/>
        <w:rPr>
          <w:rFonts w:eastAsia="仿宋_GB2312" w:hAnsi="宋体" w:cs="宋体"/>
          <w:kern w:val="0"/>
          <w:sz w:val="30"/>
          <w:szCs w:val="30"/>
        </w:rPr>
      </w:pPr>
    </w:p>
    <w:p w14:paraId="0D55BB56" w14:textId="77777777" w:rsidR="00B30C15" w:rsidRDefault="00B30C15">
      <w:pPr>
        <w:spacing w:line="540" w:lineRule="exact"/>
        <w:jc w:val="center"/>
        <w:rPr>
          <w:rFonts w:eastAsia="仿宋_GB2312" w:hAnsi="宋体" w:cs="宋体"/>
          <w:kern w:val="0"/>
          <w:sz w:val="30"/>
          <w:szCs w:val="30"/>
        </w:rPr>
      </w:pPr>
    </w:p>
    <w:p w14:paraId="2D009827" w14:textId="77777777" w:rsidR="00B30C15" w:rsidRDefault="00B30C15">
      <w:pPr>
        <w:spacing w:line="540" w:lineRule="exact"/>
        <w:rPr>
          <w:rFonts w:eastAsia="仿宋_GB2312" w:hAnsi="宋体" w:cs="宋体"/>
          <w:kern w:val="0"/>
          <w:sz w:val="30"/>
          <w:szCs w:val="30"/>
        </w:rPr>
      </w:pPr>
    </w:p>
    <w:p w14:paraId="0AD9D5B4" w14:textId="77777777" w:rsidR="00B30C15" w:rsidRDefault="00DB6A4D">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61E82372" w14:textId="77777777" w:rsidR="00B30C15" w:rsidRDefault="00DB6A4D">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消防大队体能训练馆建设项目资金（本级）</w:t>
      </w:r>
      <w:proofErr w:type="spellStart"/>
      <w:proofErr w:type="spellEnd"/>
    </w:p>
    <w:p w14:paraId="21A4AA14" w14:textId="77777777" w:rsidR="00B30C15" w:rsidRDefault="00DB6A4D">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特克斯县消防救援大队</w:t>
      </w:r>
      <w:proofErr w:type="spellStart"/>
      <w:proofErr w:type="spellEnd"/>
    </w:p>
    <w:p w14:paraId="451D76B1" w14:textId="77777777" w:rsidR="00B30C15" w:rsidRDefault="00DB6A4D">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特克斯县消防救援大队</w:t>
      </w:r>
      <w:proofErr w:type="spellStart"/>
      <w:proofErr w:type="spellEnd"/>
    </w:p>
    <w:p w14:paraId="165F2B56" w14:textId="77777777" w:rsidR="00B30C15" w:rsidRDefault="00DB6A4D">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李乐</w:t>
      </w:r>
      <w:proofErr w:type="spellStart"/>
      <w:proofErr w:type="spellEnd"/>
    </w:p>
    <w:p w14:paraId="5C0E3D36" w14:textId="77777777" w:rsidR="00B30C15" w:rsidRDefault="00DB6A4D">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2023年03月31日</w:t>
      </w:r>
    </w:p>
    <w:p w14:paraId="294F1896" w14:textId="77777777" w:rsidR="00B30C15" w:rsidRDefault="00B30C15">
      <w:pPr>
        <w:spacing w:line="700" w:lineRule="exact"/>
        <w:ind w:firstLineChars="236" w:firstLine="708"/>
        <w:jc w:val="left"/>
        <w:rPr>
          <w:rFonts w:eastAsia="仿宋_GB2312" w:hAnsi="宋体" w:cs="宋体"/>
          <w:kern w:val="0"/>
          <w:sz w:val="30"/>
          <w:szCs w:val="30"/>
        </w:rPr>
      </w:pPr>
    </w:p>
    <w:p w14:paraId="5A6EEF68" w14:textId="77777777" w:rsidR="00B30C15" w:rsidRDefault="00B30C15">
      <w:pPr>
        <w:spacing w:line="540" w:lineRule="exact"/>
        <w:rPr>
          <w:rStyle w:val="ad"/>
          <w:rFonts w:ascii="黑体" w:eastAsia="黑体" w:hAnsi="黑体"/>
          <w:b w:val="0"/>
          <w:spacing w:val="-4"/>
          <w:sz w:val="32"/>
          <w:szCs w:val="32"/>
        </w:rPr>
      </w:pPr>
    </w:p>
    <w:p w14:paraId="6CE35C78"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695F52D0"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（一）项目概况。包括项目背景、主要内容及实施情况、资金投入和使用情况等。</w:t>
      </w:r>
    </w:p>
    <w:p w14:paraId="08F8F31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项目背景：消防救援队伍是一支由地方各级财政部门予以经费保障，并直接服务于地方经济建设和社会安全稳定的队伍。特克斯县消防救援大队直接担负着全县及各乡镇的灭火救援、防火监督、维稳处突任务。特克斯县消防救援大队体能训练馆的建立，可以使消防救援人员的基础体能的到有效提高，并确保全县火灾能及时被扑灭，人民群众的生命财产安全能得到有效的保障。</w:t>
        <w:br/>
        <w:t>2.主要内容及实施情况</w:t>
        <w:br/>
        <w:t>主要内容：特克斯县消防大队体能训练馆建设项目于2019年6月开工，2019年10月竣工并完成验收，此次项目是因县委县政府统筹安排化解债务问题，支付特克斯县消防大队体能训练馆建设项目工程尾款30万元。</w:t>
        <w:br/>
        <w:t>实施情况：特克斯县消防大队体能训练馆建设项目于2019年6月开工，2019年10月竣工并完成验收，2022年8月支付建设特克斯县消防大队体能训练馆面积为1026.14平方米项目的工程尾款30万元。</w:t>
        <w:br/>
        <w:t>3.资金投入和使用情况</w:t>
        <w:br/>
        <w:t>资金投入情况：该项目年初预算数30万元，全年预算数30万元，实际总投入30万元，该项目资金已全部落实到位，资金来源为财政拨款。</w:t>
        <w:br/>
        <w:t>资金使用情况：该项目年初预算数30万元，全年预算数30万元，全年执行数30万元，预算执行率为100%。用于支付特克斯县消防大队体能训练馆建设项目资金30万元。</w:t>
      </w:r>
    </w:p>
    <w:p w14:paraId="5191B688"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（二）项目绩效目标。包括总体目标和阶段性目标。</w:t>
      </w:r>
    </w:p>
    <w:p w14:paraId="5E1453B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1.总体目标：保证体能训练馆项目的正常开工，竣工并能正常投入使用。</w:t>
        <w:br/>
        <w:t>2、阶段性目标：特克斯县消防大队体能训练馆建设项目于2019年6月开工，2019年10月竣工并完成验收，于2022年计划8月底前一次性支付消防大队体能训练馆建设项目尾款30万元，保障社会持续稳定发展。</w:t>
      </w:r>
    </w:p>
    <w:p w14:paraId="4CDBE12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w:t>
      </w:r>
      <w:r>
        <w:rPr>
          <w:rStyle w:val="ad"/>
          <w:rFonts w:hint="eastAsia"/>
          <w:spacing w:val="-4"/>
          <w:sz w:val="32"/>
          <w:szCs w:val="32"/>
        </w:rPr>
        <w:t>绩效评价工作开展情况</w:t>
      </w:r>
    </w:p>
    <w:p w14:paraId="2A58866E"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212A02D4"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1.绩效评价目的：</w:t>
        <w:br/>
        <w:t>通过绩效评价，客观地评判项目的管理绩效，了解和掌握特克斯县消防大队体能训练馆建设项目资金的具体情况，评价该项目资金安排的科学性、合理性、规范性和资金的使用成效，及时总结项目管理经验，完善项目管理办法，提高项目管理水平和资金使用效益。促使我单位根据绩效评价中发现的问题，认真加以整改，及时调整和完善单位的工作计划并加强项目绩效管理，同时为项目后续资金投入、分配和管理提供决策依据。</w:t>
        <w:br/>
        <w:t>2.绩效评价对象：</w:t>
        <w:br/>
        <w:t>消防大队体能训练馆建设项目资金（本级）</w:t>
        <w:br/>
        <w:t>3.绩效评价范围：</w:t>
        <w:br/>
        <w:t>本次评价从项目决策（包括绩效目标、决策过程）、项目管理（包括项目资金、项目实施）、项目产出（包括项目产出数量、产出质量、产出时效和产出成本）项目效益四个维度进行消防大队体能训练馆建设项目资金（本级）评价，评价核心为资金的支出完成情况和效果。</w:t>
      </w:r>
    </w:p>
    <w:p w14:paraId="63BB42D3"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（二）绩效评价原则、评价指标体系（附表说明）、评价方法、评价标准等。</w:t>
      </w:r>
    </w:p>
    <w:p w14:paraId="21FF8141"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（二）绩效评价原则、评价指标体系、评价方法、评价标准等。</w:t>
        <w:br/>
        <w:t>1.绩效评价原则</w:t>
        <w:br/>
        <w:t>（一）科学公正。本次项目支出绩效评价运用科学合理的方法，按照规范的程序，对项目绩效进行客观、公正的反映。特克斯县消防大队体能训练馆建设项目按照科学公正的评价原则，结合工程结款的实际情况，按照县委县政府的要求以确保项目保质、保量、按时完成。</w:t>
        <w:br/>
        <w:t>（二）统筹兼顾。本次项目支出绩效评价由本单位自主实施，即“谁支出、谁自评”。本项目由特克斯县消防救援大队具体实施安排，由大队领导同意签批、财务人员负责支付此比工程欠款，做到统筹兼顾。</w:t>
        <w:br/>
        <w:t>（三）激励约束。本次项目支出绩效评价结果与预算安排、政策调整、改进管理实质性挂钩，体现奖优罚劣和激励相容导向，有效要安排、低效要压减、无效要问责。</w:t>
        <w:br/>
        <w:t>2、评价指标体系</w:t>
        <w:br/>
        <w:t>2022年消防大队体能训练馆建设项目资金（本级）项目支出绩效评价指标体系</w:t>
        <w:br/>
        <w:t>特克斯县消防救援大队体能训练馆建设项目资金，支出绩效评价指标体系设置一级指标4个，分别为决策、过程、产出、效益，设置二级指标10个，分别为决策（项目立项、绩效目标、资金投入），过程（资金管理、组织实施），产出（产出数量、产出质量、产出时效、产出成本），效益（项目效益），设置三级指标17个。本项目评价指标体系分值满分为100分，评价得分为100分，评价指标体系及评价结果如下：</w:t>
        <w:br/>
        <w:t>决策指标：指标1：立项依据充分性，指标值2.5分，评价得分2.5分；指标2：立项程序规范性，指标值2.5分，评价得分2.5分；指标3：绩效目标合理性，指标值2.5分，评价得分2.5分；指标4：绩效指标明确性，指标值2.5分，评价得分2.5分；指标5：预算编制的科学性，指标值2.5分，评价得分2.5分；指标6：资金分配合理性，指标值2.5分，评价得分2.5分；决策指标合计15分。</w:t>
        <w:br/>
        <w:t>过程指标：指标1：资金到位率，指标值2.5分，评价得分2.5分；指标2：预算执行率，指标值2.5分，评价得分2.5分；指标3：资金使用合规性，指标值5分，评价得分5分；指标4：管理制度健全性，指标值7.5分，评价得分7.5分；指标5：制度执行有效性，指标值7.5分，评价得分7.5分；过程指标合计25分。</w:t>
        <w:br/>
        <w:t>产出指标：指标1：实际完成率，指标值10分，评价得分10分；指标2：质量达标率，指标值10分，评价得分10分；指标3：完成及时性，指标值10分，评价得分10分；指标4：成本节约率，指标值10分，评价得分10分；产出指标合计40分。</w:t>
        <w:br/>
        <w:t>效益指标：指标1：实施效益，指标值10分，评价得分10分；指标2：满意度，指标值10分，评价得分10分；效益指标合计20分</w:t>
        <w:br/>
        <w:t>3、评价方法</w:t>
        <w:br/>
        <w:t>特克斯县消防大队体能训练馆建设项目采用因素分析方法，原因是：本项目为债务欠款类项目，本次实施通过县委县政府统筹安排化解债务问题，由财政局主抓，消防大队配合，综合分析影响绩效目标实现、实施效果的内外部因素。本项目在2022年8月底已实施结束，结清拖欠工程尾款30万元。</w:t>
        <w:br/>
        <w:t>4.评价标准</w:t>
        <w:br/>
        <w:t>特克斯县消防大队体能训练馆建设项目支出绩效自评采用历史标准、计划标准，原因是：按照历史数据制定计划进行合理分配。在本项目实施阶段，严格按照制定的计划执行，特克斯县消防大队体能训练馆建设项目总投资200万元，资金来源为上级专项100万元，县级财政自筹100万元（分三年保障，比例为3:3:4），2022年保障30万元。</w:t>
      </w:r>
    </w:p>
    <w:p w14:paraId="620E63F7" w14:textId="77777777" w:rsidR="00B30C15" w:rsidRDefault="00DB6A4D">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5D1DF44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1.前期准备：</w:t>
        <w:br/>
        <w:t>2023年1月1日-3月1日，开始前期准备工作，评价组通过前期调研确定绩效评价对象和范围，确定了评价的目的、方法以及评价的原则，根据项目的内容和特征制定了评价指标体系及评价标准以及评价实施方案，修正并确定所需资料清单，最终确定绩效评价工作方案；</w:t>
        <w:br/>
        <w:t>2.组织实施：</w:t>
        <w:br/>
        <w:t>2023年1月1日-3月1日，评价工作进入实施阶段，评价组收集绩效评价相关数据资料，进行现场调研、座谈；并与项目实施负责人沟通，了解资金的内容、操作流程、管理机制、资金使用方向等情况，分析形成初步结论。</w:t>
        <w:br/>
        <w:t>3.分析评价：</w:t>
        <w:br/>
        <w:t>2023年3月2日-3月31日，评价组按照绩效评价的原则和规范，对取得的资料进行审查核实，对采集的数据进行分析，按照绩效评价指标评分表逐项进行打分、分析，汇总各方评价结果，综合分析并形成评价结论。</w:t>
      </w:r>
    </w:p>
    <w:p w14:paraId="6130A001" w14:textId="77777777" w:rsidR="00B30C15" w:rsidRDefault="00DB6A4D">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w:t>
      </w:r>
      <w:r>
        <w:rPr>
          <w:rStyle w:val="ad"/>
          <w:rFonts w:hint="eastAsia"/>
          <w:spacing w:val="-4"/>
          <w:sz w:val="32"/>
          <w:szCs w:val="32"/>
        </w:rPr>
        <w:t>综合评价情况及评价结论</w:t>
      </w:r>
    </w:p>
    <w:p w14:paraId="21773542"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（一）综合评价情况</w:t>
        <w:br/>
        <w:t>本项目严格按照科学公正、统筹兼顾、激励约束、公开透明的绩效评价原则，采用因素分析法，坚持历史标准、计划标准对本项目的立项、绩效目标、资金投入、资金管理、组织实施、产出数量、产出质量、产出时效、产出成本、项目效益进行了综合评价。特克斯县消防大队体能训练馆建设项目综合评价体系设置一级指标4个，总分值100分，评价得分100分，分别为项目决策：为权重分15分，得分为15分；项目过程分为权重分25分，得分为25分；项目产出分为权重分40分，得分为40分；项目效益分为权重分20分，得分为20分。本项目权重分总分为100分；评价得分为100分。</w:t>
        <w:br/>
        <w:t>（二）评价结论</w:t>
        <w:br/>
        <w:t>特克斯县消防大队体能训练馆建设项目的项目决策、项目过程、项目产出、项目效益均达到了预期要求，最终评分为100分，评价等级为“优”，项目达成年度指标</w:t>
      </w:r>
    </w:p>
    <w:p w14:paraId="7542F838" w14:textId="77777777" w:rsidR="00B30C15" w:rsidRDefault="00DB6A4D">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w:t>
      </w:r>
      <w:r>
        <w:rPr>
          <w:rStyle w:val="ad"/>
          <w:rFonts w:hint="eastAsia"/>
          <w:spacing w:val="-4"/>
          <w:sz w:val="32"/>
          <w:szCs w:val="32"/>
        </w:rPr>
        <w:t>绩效评价指</w:t>
      </w:r>
      <w:r>
        <w:rPr>
          <w:rStyle w:val="ad"/>
          <w:rFonts w:hint="eastAsia"/>
          <w:spacing w:val="-4"/>
          <w:sz w:val="32"/>
          <w:szCs w:val="32"/>
        </w:rPr>
        <w:t>标分析</w:t>
      </w:r>
      <w:r>
        <w:rPr>
          <w:rStyle w:val="ad"/>
          <w:rFonts w:ascii="黑体" w:eastAsia="黑体" w:hAnsi="黑体" w:hint="eastAsia"/>
          <w:b w:val="0"/>
          <w:spacing w:val="-4"/>
          <w:sz w:val="32"/>
          <w:szCs w:val="32"/>
        </w:rPr>
        <w:t xml:space="preserve"> </w:t>
      </w:r>
    </w:p>
    <w:p w14:paraId="253974FB"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（一）项目决策情况。</w:t>
      </w:r>
    </w:p>
    <w:p w14:paraId="284985BF"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 项目决策情况</w:t>
        <w:br/>
        <w:t>1.立项依据充分性</w:t>
        <w:br/>
        <w:t>消防大队体能训练馆建设项目立项依据特发改【2019】41号关于特克斯县消防救援大队体能训练馆建设项目批复，本项目符合国家法律法规、国民经济发展规划和相关政策也符合行业发展规划和政策要求。项目立项与部门职责范围相符，属于部门履职所需；本项目属于公共财政支持范围，符合中央、地方事权支出责任划分原则，项目不与相关部门同类项目或部门内部相关项目重复。</w:t>
        <w:br/>
        <w:t>2.立项程序规范性</w:t>
        <w:br/>
        <w:t>特克斯县消防救援大队体能训练馆建设项目按照规定的程序申请设立，审批文件、材料符合相关要求；事前已经过必要的集体决策。</w:t>
        <w:br/>
        <w:t>3.绩效目标合理性</w:t>
        <w:br/>
        <w:t>特克斯县消防救援大队体能训练馆建设项目设立了绩效目标，与消防防火监督、灭火、救援、防火宣传等工作的内容具有相关性，项目预期产出效益和效果也符合正常的业绩水平，并且与预算确定的项目资金量相匹配。</w:t>
        <w:br/>
        <w:t>4.绩效指标明确性</w:t>
        <w:br/>
        <w:t>特克斯县消防救援大队体能训练馆建设项目将项目绩效目标细化分解为具体的绩效指标，一级指标共3条，二级指标共5条，三级指标共9条，其中量化指标条数共9条，所有绩效指标均通过清晰、可衡量的指标值予以体现，并且做到了与项目目标任务数或计划数相对应。</w:t>
        <w:br/>
        <w:t>5.预算编制科学性</w:t>
        <w:br/>
        <w:t>特克斯县消防救援大队体能训练馆建设项目预算编制经过科学论证，预算内容与项目内容相匹配，预算额度测算依据充分，按照标准编制，预算确定的项目资金量与批复文件内容相匹配。</w:t>
        <w:br/>
        <w:t>6.资金分配合理性</w:t>
        <w:br/>
        <w:t>特克斯县消防救援大队体能训练馆建设项目预算资金分配依据充分，资金分配额度合理，与项目单位相适应。</w:t>
      </w:r>
    </w:p>
    <w:p w14:paraId="279CAB95"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（二）项目过程情况。</w:t>
      </w:r>
    </w:p>
    <w:p w14:paraId="406F39A3"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（二）项目过程情况。</w:t>
        <w:br/>
        <w:t>1.资金到位率：</w:t>
        <w:br/>
        <w:t>预算资金30万元，实际到位资金30万元，资金到位率100%。</w:t>
        <w:br/>
        <w:t>2.预算执行率</w:t>
        <w:br/>
        <w:t>年初预算数30万元，全年预算数30万元，全年执行数30万元，预算执行率为100%。</w:t>
        <w:br/>
        <w:t>3.资金使用合规性</w:t>
        <w:br/>
        <w:t>特克斯县消防救援大队体能训练馆建设项目符合国家财经法规和财务管理制度以及有关专项资金管理办法的规定，资金的拨付有完整的审批程序和手续，符合项目预算批复规定的用途。项目不存在截留、挤占、挪用、虚列支出等情况。</w:t>
        <w:br/>
        <w:t>4.管理制度健全性</w:t>
        <w:br/>
        <w:t>特克斯县消防救援大队体能训练馆建设项目具有相应的财务和业务管理制度《特克斯县消防救援大队财务处管理规章制度》，财务负责人员应忠于职守，保持警惕，并严格执行财务制度，及时请示领导和正确使用经费，加强单位财务管理、建立健全内部财务管理制度、规范财务收支行为，是贯彻执行国家有关财政财务规章制度、严肃财经纪律的重要环节，是推进依法理财、严肃财经纪律、提高资金使用效益、建设高效节约机关的必然要求，也是保障财政改革各项政策贯彻落实的重要措施，有利于降低单位运行成本，有利于从根本上防范和遏制财经违法违规问题的发生，有利于从源头上预防和遏制腐败。特克斯县消防救援大队财务和业务管理制度符合国家的法律法规法、合规、完整。</w:t>
        <w:br/>
        <w:t>5.制度执行有效性</w:t>
        <w:br/>
        <w:t>特克斯县消防救援大队体能训练馆建设项目遵守相关法律法规和相关管理规定，项目调整及支出调整手续完备，项目合同书、验收报告、技术鉴定等资料已收集齐全并及时归档，项目实施的人员条件、场地设备、信息支撑等已落实到位。</w:t>
      </w:r>
    </w:p>
    <w:p w14:paraId="0602F923"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（三）项目产出情况。</w:t>
      </w:r>
    </w:p>
    <w:p w14:paraId="3B1C5BC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（三）项目产出情况。</w:t>
        <w:br/>
        <w:t>1.数量指标：指标1：建设体育馆数量，指标值：=1栋，实际完成值为1栋，指标完成率100%；指标2：体育馆面积，指标值：=1206.14平方米，实际完成值为1206.14平方米，指标完成率100%。</w:t>
        <w:br/>
        <w:t>2.质量指标：指标1：竣工验收合格率，指标值：=100%，实际完成值为100%，指标完成率100%；指标2：项目资金支付率，指标值：=60%，实际完成值60%，指标完成率100%。</w:t>
        <w:br/>
        <w:t>3.时效指标：指标1：项目按计划开工率，指标值：=100%，实际完成值100%，指标完成率100%；指标2：项目按计划完工率，指标值=100%，实际完成值100%，指标完成率100%。</w:t>
        <w:br/>
        <w:t/>
        <w:br/>
        <w:t>4.成本指标：无</w:t>
      </w:r>
    </w:p>
    <w:p w14:paraId="49FAA821"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（四）项目效益情况。</w:t>
      </w:r>
    </w:p>
    <w:p w14:paraId="3010DFF8"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（四）项目效益情况。</w:t>
        <w:br/>
        <w:t>1.经济效益指标：无。</w:t>
        <w:br/>
        <w:t>2.社会效益指标：指标1：正常运转率，指标值：=100%，实际完成值=100%，指标完成率100%；指标2：项目收益人数，指标值＞=30人，实际完成值为30人，指标完成率100%。</w:t>
        <w:br/>
        <w:t/>
        <w:br/>
        <w:t>3.生态效益指标：无</w:t>
        <w:br/>
        <w:t>4.可持续影响指标：无</w:t>
        <w:br/>
        <w:t>5.满意度指标：指标1：消防员满意度，指标值：＞=98%，实际完成值98%，指标完成率100%。</w:t>
      </w:r>
    </w:p>
    <w:p w14:paraId="126CE8BD" w14:textId="77777777" w:rsidR="00B30C15" w:rsidRDefault="00DB6A4D">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（五）满意度指标完成情况分析。</w:t>
      </w:r>
    </w:p>
    <w:p w14:paraId="7729649D" w14:textId="77777777" w:rsidR="00B30C15" w:rsidRDefault="00DB6A4D">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
      </w:r>
    </w:p>
    <w:p w14:paraId="0A05BF98" w14:textId="77777777" w:rsidR="00B30C15" w:rsidRDefault="00DB6A4D">
      <w:pPr>
        <w:spacing w:line="540" w:lineRule="exact"/>
        <w:ind w:firstLine="640"/>
        <w:rPr>
          <w:rStyle w:val="ad"/>
          <w:rFonts w:ascii="黑体" w:eastAsia="黑体" w:hAnsi="黑体"/>
          <w:spacing w:val="-4"/>
          <w:sz w:val="32"/>
          <w:szCs w:val="32"/>
        </w:rPr>
      </w:pPr>
      <w:r>
        <w:rPr>
          <w:rStyle w:val="ad"/>
          <w:rFonts w:ascii="黑体" w:eastAsia="黑体" w:hAnsi="黑体" w:hint="eastAsia"/>
          <w:b w:val="0"/>
          <w:spacing w:val="-4"/>
          <w:sz w:val="32"/>
          <w:szCs w:val="32"/>
        </w:rPr>
        <w:t>五、</w:t>
      </w:r>
      <w:r>
        <w:rPr>
          <w:rStyle w:val="ad"/>
          <w:rFonts w:ascii="黑体" w:eastAsia="黑体" w:hAnsi="黑体"/>
          <w:b w:val="0"/>
          <w:spacing w:val="-4"/>
          <w:sz w:val="32"/>
          <w:szCs w:val="32"/>
        </w:rPr>
        <w:t>主要经验及做法、存在的问题及原因分析</w:t>
      </w:r>
    </w:p>
    <w:p w14:paraId="1993D4B5"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（一）主要经验及做法</w:t>
        <w:br/>
        <w:t>（1）主要经验：细化预算编制工作，认真做好预算编制。进一步加强预算内部预算管理意识，严格按照预算编制的相关制度和要求进行预算支出安排，优先保障固定性的费用支出项目，进一步提升预算支出的科学性、严谨性和可控性。</w:t>
        <w:br/>
        <w:t>做法：加强财务管理，严格财务审核；加强项目开展进度的跟踪，开展项目绩效评价，确保项目绩效目标的顺利完成。制定了专项资金管理工作制度，明确了资金付款流程，统一了资金申请手续，做到了层层审核、层层负责、层层把关，经费支出资金全部要求专户发放。</w:t>
        <w:br/>
        <w:t>（二）存在的问题及原因分析</w:t>
        <w:br/>
        <w:t>1、存在问题：我单位对工作缺少科学的规划，预算执行存在突击开支的情况，工程款结算不及时等问题。</w:t>
        <w:br/>
        <w:t>原因是大队在预算编制完成后，没有预算执行计划，存在突击开支的情况出现，对未及时结清的工程款应做到事前、事中、事后的全程监督，统筹规划，加强经费管理，严格控制经费开支，杜绝一切不合理开支，建立预算编制、审批、监督的全面预算控制系统。</w:t>
      </w:r>
    </w:p>
    <w:p w14:paraId="5753D6DB" w14:textId="77777777" w:rsidR="00B30C15" w:rsidRDefault="00DB6A4D">
      <w:pPr>
        <w:ind w:firstLineChars="200" w:firstLine="624"/>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Pr>
          <w:rStyle w:val="ad"/>
          <w:rFonts w:ascii="黑体" w:eastAsia="黑体" w:hAnsi="黑体"/>
          <w:b w:val="0"/>
          <w:spacing w:val="-4"/>
          <w:sz w:val="32"/>
          <w:szCs w:val="32"/>
        </w:rPr>
        <w:t>、有关建议</w:t>
      </w:r>
    </w:p>
    <w:p w14:paraId="466664C1"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提高预算编制水平，大队领导需高度重视预算编制工作，结合单位的年度工作计划，认真谋划全年经费开支计划，科学合理测算年度需求，正确把握资金的投向投量，所有项目编报必须清晰反应项目内容、具体活动和支出需求。</w:t>
      </w:r>
    </w:p>
    <w:p w14:paraId="613407BE" w14:textId="77777777" w:rsidR="00B30C15" w:rsidRDefault="00DB6A4D">
      <w:pPr>
        <w:spacing w:line="540" w:lineRule="exact"/>
        <w:ind w:firstLine="567"/>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Pr>
          <w:rStyle w:val="ad"/>
          <w:rFonts w:ascii="黑体" w:eastAsia="黑体" w:hAnsi="黑体" w:hint="eastAsia"/>
          <w:b w:val="0"/>
          <w:spacing w:val="-4"/>
          <w:sz w:val="32"/>
          <w:szCs w:val="32"/>
        </w:rPr>
        <w:t>、其他需要说明的问题</w:t>
      </w:r>
    </w:p>
    <w:p w14:paraId="2419F6BE" w14:textId="77777777" w:rsidR="00B30C15" w:rsidRDefault="00DB6A4D">
      <w:pPr>
        <w:spacing w:line="540" w:lineRule="exact"/>
        <w:ind w:firstLineChars="200" w:firstLine="627"/>
        <w:rPr>
          <w:rStyle w:val="ad"/>
          <w:rFonts w:ascii="楷体" w:eastAsia="楷体" w:hAnsi="楷体"/>
          <w:spacing w:val="-4"/>
          <w:sz w:val="32"/>
          <w:szCs w:val="32"/>
        </w:rPr>
      </w:pPr>
      <w:r>
        <w:rPr>
          <w:rStyle w:val="ad"/>
          <w:rFonts w:ascii="楷体" w:eastAsia="楷体" w:hAnsi="楷体" w:hint="eastAsia"/>
          <w:spacing w:val="-4"/>
          <w:sz w:val="32"/>
          <w:szCs w:val="32"/>
        </w:rPr>
        <w:t>无</w:t>
      </w:r>
    </w:p>
    <w:p w14:paraId="131B8E06" w14:textId="77777777" w:rsidR="00B30C15" w:rsidRDefault="00B30C15">
      <w:pPr>
        <w:spacing w:line="540" w:lineRule="exact"/>
        <w:ind w:firstLine="567"/>
        <w:rPr>
          <w:rStyle w:val="ad"/>
          <w:rFonts w:ascii="仿宋" w:eastAsia="仿宋" w:hAnsi="仿宋"/>
          <w:b w:val="0"/>
          <w:spacing w:val="-4"/>
          <w:sz w:val="32"/>
          <w:szCs w:val="32"/>
        </w:rPr>
      </w:pPr>
    </w:p>
    <w:p w14:paraId="23243C18" w14:textId="77777777" w:rsidR="00B30C15" w:rsidRDefault="00B30C15">
      <w:pPr>
        <w:spacing w:line="540" w:lineRule="exact"/>
        <w:ind w:firstLine="567"/>
        <w:rPr>
          <w:rStyle w:val="ad"/>
          <w:rFonts w:ascii="仿宋" w:eastAsia="仿宋" w:hAnsi="仿宋"/>
          <w:b w:val="0"/>
          <w:spacing w:val="-4"/>
          <w:sz w:val="32"/>
          <w:szCs w:val="32"/>
        </w:rPr>
      </w:pPr>
    </w:p>
    <w:p w14:paraId="40223C3C" w14:textId="77777777" w:rsidR="00B30C15" w:rsidRDefault="00B30C15">
      <w:pPr>
        <w:spacing w:line="540" w:lineRule="exact"/>
        <w:ind w:firstLine="567"/>
        <w:rPr>
          <w:rStyle w:val="ad"/>
          <w:rFonts w:ascii="仿宋" w:eastAsia="仿宋" w:hAnsi="仿宋"/>
          <w:b w:val="0"/>
          <w:spacing w:val="-4"/>
          <w:sz w:val="32"/>
          <w:szCs w:val="32"/>
        </w:rPr>
      </w:pPr>
    </w:p>
    <w:p w14:paraId="7C6DA9A0" w14:textId="77777777" w:rsidR="00B30C15" w:rsidRDefault="00B30C15">
      <w:pPr>
        <w:spacing w:line="540" w:lineRule="exact"/>
        <w:ind w:firstLine="567"/>
        <w:rPr>
          <w:rStyle w:val="ad"/>
          <w:rFonts w:ascii="仿宋" w:eastAsia="仿宋" w:hAnsi="仿宋"/>
          <w:b w:val="0"/>
          <w:spacing w:val="-4"/>
          <w:sz w:val="32"/>
          <w:szCs w:val="32"/>
        </w:rPr>
      </w:pPr>
    </w:p>
    <w:p w14:paraId="16116B8B" w14:textId="77777777" w:rsidR="00B30C15" w:rsidRDefault="00B30C15">
      <w:pPr>
        <w:spacing w:line="540" w:lineRule="exact"/>
        <w:ind w:firstLine="567"/>
        <w:rPr>
          <w:rStyle w:val="ad"/>
          <w:rFonts w:ascii="仿宋" w:eastAsia="仿宋" w:hAnsi="仿宋"/>
          <w:b w:val="0"/>
          <w:spacing w:val="-4"/>
          <w:sz w:val="32"/>
          <w:szCs w:val="32"/>
        </w:rPr>
      </w:pPr>
    </w:p>
    <w:p w14:paraId="35577642" w14:textId="77777777" w:rsidR="00B30C15" w:rsidRDefault="00B30C15">
      <w:pPr>
        <w:spacing w:line="540" w:lineRule="exact"/>
        <w:ind w:firstLine="567"/>
        <w:rPr>
          <w:rStyle w:val="ad"/>
          <w:rFonts w:ascii="仿宋" w:eastAsia="仿宋" w:hAnsi="仿宋"/>
          <w:b w:val="0"/>
          <w:spacing w:val="-4"/>
          <w:sz w:val="32"/>
          <w:szCs w:val="32"/>
        </w:rPr>
      </w:pPr>
    </w:p>
    <w:p w14:paraId="776095BE" w14:textId="77777777" w:rsidR="00B30C15" w:rsidRDefault="00B30C15">
      <w:pPr>
        <w:spacing w:line="540" w:lineRule="exact"/>
        <w:ind w:firstLine="567"/>
        <w:rPr>
          <w:rStyle w:val="ad"/>
          <w:rFonts w:ascii="仿宋" w:eastAsia="仿宋" w:hAnsi="仿宋"/>
          <w:b w:val="0"/>
          <w:spacing w:val="-4"/>
          <w:sz w:val="32"/>
          <w:szCs w:val="32"/>
        </w:rPr>
      </w:pPr>
    </w:p>
    <w:p w14:paraId="4F5D9D13" w14:textId="77777777" w:rsidR="00B30C15" w:rsidRDefault="00B30C15">
      <w:pPr>
        <w:spacing w:line="540" w:lineRule="exact"/>
        <w:ind w:firstLine="567"/>
        <w:rPr>
          <w:rStyle w:val="ad"/>
          <w:rFonts w:ascii="仿宋" w:eastAsia="仿宋" w:hAnsi="仿宋"/>
          <w:b w:val="0"/>
          <w:spacing w:val="-4"/>
          <w:sz w:val="32"/>
          <w:szCs w:val="32"/>
        </w:rPr>
      </w:pPr>
    </w:p>
    <w:p w14:paraId="555FAFE7" w14:textId="77777777" w:rsidR="00B30C15" w:rsidRDefault="00B30C15">
      <w:pPr>
        <w:spacing w:line="540" w:lineRule="exact"/>
        <w:ind w:firstLine="567"/>
        <w:rPr>
          <w:rStyle w:val="ad"/>
          <w:rFonts w:ascii="仿宋" w:eastAsia="仿宋" w:hAnsi="仿宋"/>
          <w:b w:val="0"/>
          <w:spacing w:val="-4"/>
          <w:sz w:val="32"/>
          <w:szCs w:val="32"/>
        </w:rPr>
      </w:pPr>
    </w:p>
    <w:p w14:paraId="52EC0E21" w14:textId="77777777" w:rsidR="00B30C15" w:rsidRDefault="00B30C15">
      <w:pPr>
        <w:spacing w:line="540" w:lineRule="exact"/>
        <w:ind w:firstLine="567"/>
        <w:rPr>
          <w:rStyle w:val="ad"/>
          <w:rFonts w:ascii="仿宋" w:eastAsia="仿宋" w:hAnsi="仿宋"/>
          <w:b w:val="0"/>
          <w:spacing w:val="-4"/>
          <w:sz w:val="32"/>
          <w:szCs w:val="32"/>
        </w:rPr>
      </w:pPr>
    </w:p>
    <w:p w14:paraId="44E6E054" w14:textId="77777777" w:rsidR="00B30C15" w:rsidRDefault="00B30C15">
      <w:pPr>
        <w:spacing w:line="540" w:lineRule="exact"/>
        <w:ind w:firstLine="567"/>
        <w:rPr>
          <w:rStyle w:val="ad"/>
          <w:rFonts w:ascii="仿宋" w:eastAsia="仿宋" w:hAnsi="仿宋"/>
          <w:b w:val="0"/>
          <w:spacing w:val="-4"/>
          <w:sz w:val="32"/>
          <w:szCs w:val="32"/>
        </w:rPr>
      </w:pPr>
    </w:p>
    <w:p w14:paraId="6838D646" w14:textId="77777777" w:rsidR="00B30C15" w:rsidRDefault="00B30C15">
      <w:pPr>
        <w:spacing w:line="540" w:lineRule="exact"/>
        <w:ind w:firstLine="567"/>
        <w:rPr>
          <w:rStyle w:val="ad"/>
          <w:rFonts w:ascii="仿宋" w:eastAsia="仿宋" w:hAnsi="仿宋"/>
          <w:b w:val="0"/>
          <w:spacing w:val="-4"/>
          <w:sz w:val="32"/>
          <w:szCs w:val="32"/>
        </w:rPr>
      </w:pPr>
    </w:p>
    <w:sectPr w:rsidR="00B30C15">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A3A29" w14:textId="77777777" w:rsidR="00DB6A4D" w:rsidRDefault="00DB6A4D">
      <w:r>
        <w:separator/>
      </w:r>
    </w:p>
  </w:endnote>
  <w:endnote w:type="continuationSeparator" w:id="0">
    <w:p w14:paraId="3E4BFEE6" w14:textId="77777777" w:rsidR="00DB6A4D" w:rsidRDefault="00DB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003363"/>
    </w:sdtPr>
    <w:sdtEndPr/>
    <w:sdtContent>
      <w:p w14:paraId="598F32AA" w14:textId="77777777" w:rsidR="00B30C15" w:rsidRDefault="00DB6A4D">
        <w:pPr>
          <w:pStyle w:val="a5"/>
          <w:jc w:val="center"/>
        </w:pPr>
        <w:r>
          <w:fldChar w:fldCharType="begin"/>
        </w:r>
        <w:r>
          <w:instrText>PAGE   \* MERGEFORMAT</w:instrText>
        </w:r>
        <w:r>
          <w:fldChar w:fldCharType="separate"/>
        </w:r>
        <w:r>
          <w:rPr>
            <w:lang w:val="zh-CN"/>
          </w:rPr>
          <w:t>1</w:t>
        </w:r>
        <w:r>
          <w:fldChar w:fldCharType="end"/>
        </w:r>
      </w:p>
    </w:sdtContent>
  </w:sdt>
  <w:p w14:paraId="659798A5" w14:textId="77777777" w:rsidR="00B30C15" w:rsidRDefault="00B30C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1179" w14:textId="77777777" w:rsidR="00DB6A4D" w:rsidRDefault="00DB6A4D">
      <w:r>
        <w:separator/>
      </w:r>
    </w:p>
  </w:footnote>
  <w:footnote w:type="continuationSeparator" w:id="0">
    <w:p w14:paraId="1A9D08C1" w14:textId="77777777" w:rsidR="00DB6A4D" w:rsidRDefault="00DB6A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110C4"/>
    <w:rsid w:val="00037D50"/>
    <w:rsid w:val="0005416C"/>
    <w:rsid w:val="00056465"/>
    <w:rsid w:val="001028C5"/>
    <w:rsid w:val="00102DFF"/>
    <w:rsid w:val="00121AE4"/>
    <w:rsid w:val="0014601B"/>
    <w:rsid w:val="00146AAD"/>
    <w:rsid w:val="00150F05"/>
    <w:rsid w:val="001B3A40"/>
    <w:rsid w:val="00273CCD"/>
    <w:rsid w:val="00291BC0"/>
    <w:rsid w:val="00311DBE"/>
    <w:rsid w:val="00345DD7"/>
    <w:rsid w:val="00351EFF"/>
    <w:rsid w:val="003B0577"/>
    <w:rsid w:val="003E7E58"/>
    <w:rsid w:val="003F5180"/>
    <w:rsid w:val="00414C3A"/>
    <w:rsid w:val="004366A8"/>
    <w:rsid w:val="004A05EE"/>
    <w:rsid w:val="004C38BC"/>
    <w:rsid w:val="004F1F3C"/>
    <w:rsid w:val="00502BA7"/>
    <w:rsid w:val="005162F1"/>
    <w:rsid w:val="00535153"/>
    <w:rsid w:val="00554F82"/>
    <w:rsid w:val="0056390D"/>
    <w:rsid w:val="005719B0"/>
    <w:rsid w:val="005A4F2E"/>
    <w:rsid w:val="005A5018"/>
    <w:rsid w:val="005C51DF"/>
    <w:rsid w:val="005D10D6"/>
    <w:rsid w:val="005E7C5E"/>
    <w:rsid w:val="00725906"/>
    <w:rsid w:val="0075584F"/>
    <w:rsid w:val="00855E3A"/>
    <w:rsid w:val="0091457F"/>
    <w:rsid w:val="00922CB9"/>
    <w:rsid w:val="00925D36"/>
    <w:rsid w:val="00944DD1"/>
    <w:rsid w:val="009E5CD9"/>
    <w:rsid w:val="009F4373"/>
    <w:rsid w:val="00A26421"/>
    <w:rsid w:val="00A34588"/>
    <w:rsid w:val="00A413B8"/>
    <w:rsid w:val="00A4293B"/>
    <w:rsid w:val="00A67D50"/>
    <w:rsid w:val="00A8691A"/>
    <w:rsid w:val="00A972DF"/>
    <w:rsid w:val="00AC1946"/>
    <w:rsid w:val="00AC3A96"/>
    <w:rsid w:val="00AD5E52"/>
    <w:rsid w:val="00AF683C"/>
    <w:rsid w:val="00B2343E"/>
    <w:rsid w:val="00B30C15"/>
    <w:rsid w:val="00B40063"/>
    <w:rsid w:val="00B41F61"/>
    <w:rsid w:val="00B74D04"/>
    <w:rsid w:val="00BA46E6"/>
    <w:rsid w:val="00BB5015"/>
    <w:rsid w:val="00C56C72"/>
    <w:rsid w:val="00C62CB9"/>
    <w:rsid w:val="00CA6457"/>
    <w:rsid w:val="00CA6DC2"/>
    <w:rsid w:val="00CD37A4"/>
    <w:rsid w:val="00CE2FD9"/>
    <w:rsid w:val="00D17F2E"/>
    <w:rsid w:val="00D30354"/>
    <w:rsid w:val="00D52B7C"/>
    <w:rsid w:val="00D80C1E"/>
    <w:rsid w:val="00DB1661"/>
    <w:rsid w:val="00DB6A4D"/>
    <w:rsid w:val="00DF42A0"/>
    <w:rsid w:val="00E30E91"/>
    <w:rsid w:val="00E769FE"/>
    <w:rsid w:val="00E774CE"/>
    <w:rsid w:val="00E96D03"/>
    <w:rsid w:val="00EA2CBE"/>
    <w:rsid w:val="00EB10A0"/>
    <w:rsid w:val="00F32FEE"/>
    <w:rsid w:val="00FB10BB"/>
    <w:rsid w:val="2BA4637D"/>
    <w:rsid w:val="4D2606A1"/>
    <w:rsid w:val="69383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1BD1"/>
  <w15:docId w15:val="{760815B5-13C2-448F-A3DB-8948AFE4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微软中国</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Administrator</cp:lastModifiedBy>
  <cp:lastPrinted>2018-12-31T10:56:00Z</cp:lastPrinted>
  <dcterms:modified xsi:type="dcterms:W3CDTF">2022-03-31T02:51:00Z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21EF0CDCB73D4B8D8FAC715995DB8275</vt:lpwstr>
  </property>
</Properties>
</file>