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0" w:firstLineChars="500"/>
        <w:jc w:val="both"/>
        <w:rPr>
          <w:b w:val="0"/>
          <w:bCs w:val="0"/>
        </w:rPr>
      </w:pPr>
      <w:r>
        <w:rPr>
          <w:rFonts w:hint="eastAsia" w:ascii="宋体" w:hAnsi="宋体" w:eastAsia="宋体" w:cs="宋体"/>
          <w:b w:val="0"/>
          <w:bCs w:val="0"/>
          <w:sz w:val="44"/>
          <w:szCs w:val="44"/>
        </w:rPr>
        <w:t>不予行政处罚清单</w:t>
      </w:r>
    </w:p>
    <w:p>
      <w:pPr>
        <w:topLinePunct/>
        <w:adjustRightInd w:val="0"/>
        <w:snapToGrid w:val="0"/>
        <w:spacing w:line="592" w:lineRule="exact"/>
        <w:jc w:val="left"/>
        <w:rPr>
          <w:rFonts w:hint="eastAsia" w:ascii="宋体" w:hAnsi="宋体" w:eastAsia="宋体" w:cs="宋体"/>
          <w:b w:val="0"/>
          <w:bCs w:val="0"/>
          <w:sz w:val="44"/>
          <w:szCs w:val="44"/>
        </w:rPr>
      </w:pPr>
      <w:r>
        <w:rPr>
          <w:rFonts w:hint="eastAsia" w:ascii="仿宋" w:hAnsi="仿宋" w:eastAsia="仿宋" w:cs="仿宋"/>
          <w:sz w:val="28"/>
          <w:szCs w:val="28"/>
        </w:rPr>
        <w:t>单位：（公章）         联系人：</w:t>
      </w:r>
      <w:r>
        <w:rPr>
          <w:rFonts w:hint="eastAsia" w:ascii="仿宋" w:hAnsi="仿宋" w:eastAsia="仿宋" w:cs="仿宋"/>
          <w:sz w:val="28"/>
          <w:szCs w:val="28"/>
          <w:lang w:eastAsia="zh-CN"/>
        </w:rPr>
        <w:t>叶尔扎提</w:t>
      </w:r>
      <w:r>
        <w:rPr>
          <w:rFonts w:hint="eastAsia" w:ascii="仿宋" w:hAnsi="仿宋" w:eastAsia="仿宋" w:cs="仿宋"/>
          <w:sz w:val="28"/>
          <w:szCs w:val="28"/>
        </w:rPr>
        <w:t xml:space="preserve"> 联系电话：</w:t>
      </w:r>
      <w:r>
        <w:rPr>
          <w:rFonts w:hint="eastAsia" w:ascii="仿宋" w:hAnsi="仿宋" w:eastAsia="仿宋" w:cs="仿宋"/>
          <w:sz w:val="28"/>
          <w:szCs w:val="28"/>
          <w:lang w:val="en-US" w:eastAsia="zh-CN"/>
        </w:rPr>
        <w:t>15569266317</w:t>
      </w:r>
    </w:p>
    <w:p>
      <w:pPr>
        <w:rPr>
          <w:rFonts w:hint="eastAsia"/>
        </w:rPr>
      </w:pPr>
    </w:p>
    <w:tbl>
      <w:tblPr>
        <w:tblStyle w:val="4"/>
        <w:tblW w:w="831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31"/>
        <w:gridCol w:w="650"/>
        <w:gridCol w:w="1432"/>
        <w:gridCol w:w="1718"/>
        <w:gridCol w:w="39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815" w:hRule="atLeast"/>
          <w:tblCellSpacing w:w="0" w:type="dxa"/>
        </w:trPr>
        <w:tc>
          <w:tcPr>
            <w:tcW w:w="531"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序号</w:t>
            </w:r>
          </w:p>
        </w:tc>
        <w:tc>
          <w:tcPr>
            <w:tcW w:w="65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sz w:val="21"/>
                <w:szCs w:val="21"/>
              </w:rPr>
            </w:pPr>
            <w:r>
              <w:rPr>
                <w:rFonts w:hint="eastAsia" w:ascii="仿宋" w:hAnsi="仿宋" w:eastAsia="仿宋" w:cs="仿宋"/>
                <w:kern w:val="0"/>
                <w:sz w:val="22"/>
                <w:szCs w:val="22"/>
              </w:rPr>
              <w:t>行政处罚事项</w:t>
            </w:r>
          </w:p>
        </w:tc>
        <w:tc>
          <w:tcPr>
            <w:tcW w:w="1432"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sz w:val="21"/>
                <w:szCs w:val="21"/>
              </w:rPr>
            </w:pPr>
            <w:r>
              <w:rPr>
                <w:rFonts w:hint="eastAsia" w:ascii="仿宋" w:hAnsi="仿宋" w:eastAsia="仿宋" w:cs="仿宋"/>
                <w:kern w:val="0"/>
                <w:sz w:val="22"/>
                <w:szCs w:val="22"/>
              </w:rPr>
              <w:t>实施机关</w:t>
            </w:r>
          </w:p>
        </w:tc>
        <w:tc>
          <w:tcPr>
            <w:tcW w:w="1718"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sz w:val="21"/>
                <w:szCs w:val="21"/>
              </w:rPr>
            </w:pPr>
            <w:r>
              <w:rPr>
                <w:rFonts w:hint="eastAsia" w:ascii="仿宋" w:hAnsi="仿宋" w:eastAsia="仿宋" w:cs="仿宋"/>
                <w:kern w:val="0"/>
                <w:sz w:val="22"/>
                <w:szCs w:val="22"/>
              </w:rPr>
              <w:t>不予处罚适用条件</w:t>
            </w:r>
          </w:p>
        </w:tc>
        <w:tc>
          <w:tcPr>
            <w:tcW w:w="3988"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法律依据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338" w:hRule="atLeast"/>
          <w:tblCellSpacing w:w="0" w:type="dxa"/>
        </w:trPr>
        <w:tc>
          <w:tcPr>
            <w:tcW w:w="531"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1"/>
                <w:szCs w:val="21"/>
              </w:rPr>
            </w:pPr>
            <w:r>
              <w:rPr>
                <w:rFonts w:hint="eastAsia" w:ascii="仿宋" w:hAnsi="仿宋" w:eastAsia="仿宋" w:cs="仿宋"/>
                <w:sz w:val="21"/>
                <w:szCs w:val="21"/>
              </w:rPr>
              <w:t>1</w:t>
            </w:r>
          </w:p>
        </w:tc>
        <w:tc>
          <w:tcPr>
            <w:tcW w:w="65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sz w:val="21"/>
                <w:szCs w:val="21"/>
                <w:lang w:eastAsia="zh-CN"/>
              </w:rPr>
            </w:pPr>
            <w:r>
              <w:rPr>
                <w:rFonts w:hint="eastAsia" w:ascii="仿宋" w:hAnsi="仿宋" w:eastAsia="仿宋" w:cs="仿宋"/>
                <w:sz w:val="21"/>
                <w:szCs w:val="21"/>
              </w:rPr>
              <w:t>不予行政处</w:t>
            </w:r>
            <w:r>
              <w:rPr>
                <w:rFonts w:hint="eastAsia" w:ascii="仿宋" w:hAnsi="仿宋" w:eastAsia="仿宋" w:cs="仿宋"/>
                <w:sz w:val="21"/>
                <w:szCs w:val="21"/>
                <w:lang w:eastAsia="zh-CN"/>
              </w:rPr>
              <w:t>事项</w:t>
            </w:r>
          </w:p>
        </w:tc>
        <w:tc>
          <w:tcPr>
            <w:tcW w:w="1432"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特克斯县应急管理局</w:t>
            </w:r>
          </w:p>
        </w:tc>
        <w:tc>
          <w:tcPr>
            <w:tcW w:w="1718"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1"/>
                <w:szCs w:val="21"/>
              </w:rPr>
            </w:pPr>
            <w:r>
              <w:rPr>
                <w:rFonts w:hint="eastAsia" w:ascii="仿宋" w:hAnsi="仿宋" w:eastAsia="仿宋" w:cs="仿宋"/>
                <w:sz w:val="21"/>
                <w:szCs w:val="21"/>
              </w:rPr>
              <w:t>不满十四周岁的未成年人有安全生产违法行为的</w:t>
            </w:r>
          </w:p>
        </w:tc>
        <w:tc>
          <w:tcPr>
            <w:tcW w:w="3988"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1"/>
                <w:szCs w:val="21"/>
              </w:rPr>
            </w:pPr>
            <w:r>
              <w:rPr>
                <w:rFonts w:hint="eastAsia" w:ascii="仿宋" w:hAnsi="仿宋" w:eastAsia="仿宋" w:cs="仿宋"/>
                <w:sz w:val="21"/>
                <w:szCs w:val="21"/>
              </w:rPr>
              <w:t>1.《中华人民共和国行政处罚法》第三十条  不满十四周岁的未成年人有违法行为的，不予行政处罚，责令监护人加以管教。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1"/>
                <w:szCs w:val="21"/>
              </w:rPr>
            </w:pPr>
            <w:r>
              <w:rPr>
                <w:rFonts w:hint="eastAsia" w:ascii="仿宋" w:hAnsi="仿宋" w:eastAsia="仿宋" w:cs="仿宋"/>
                <w:sz w:val="21"/>
                <w:szCs w:val="21"/>
              </w:rPr>
              <w:t>2.《安全生产行政处罚自由裁量适用规则（试行）》第十六条第一款第三项  当事人有下列情形之一的，不予处罚：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1"/>
                <w:szCs w:val="21"/>
              </w:rPr>
            </w:pPr>
            <w:r>
              <w:rPr>
                <w:rFonts w:hint="eastAsia" w:ascii="仿宋" w:hAnsi="仿宋" w:eastAsia="仿宋" w:cs="仿宋"/>
                <w:sz w:val="21"/>
                <w:szCs w:val="21"/>
              </w:rPr>
              <w:t>（三）不满14周岁的公民实施安全生产违法行为的；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20" w:hRule="atLeast"/>
          <w:tblCellSpacing w:w="0" w:type="dxa"/>
        </w:trPr>
        <w:tc>
          <w:tcPr>
            <w:tcW w:w="531"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1"/>
                <w:szCs w:val="21"/>
              </w:rPr>
            </w:pPr>
            <w:r>
              <w:rPr>
                <w:rFonts w:hint="eastAsia" w:ascii="仿宋" w:hAnsi="仿宋" w:eastAsia="仿宋" w:cs="仿宋"/>
                <w:sz w:val="21"/>
                <w:szCs w:val="21"/>
              </w:rPr>
              <w:t>2</w:t>
            </w:r>
          </w:p>
        </w:tc>
        <w:tc>
          <w:tcPr>
            <w:tcW w:w="65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不予行政处</w:t>
            </w:r>
            <w:r>
              <w:rPr>
                <w:rFonts w:hint="eastAsia" w:ascii="仿宋" w:hAnsi="仿宋" w:eastAsia="仿宋" w:cs="仿宋"/>
                <w:sz w:val="21"/>
                <w:szCs w:val="21"/>
                <w:lang w:eastAsia="zh-CN"/>
              </w:rPr>
              <w:t>事项</w:t>
            </w:r>
          </w:p>
        </w:tc>
        <w:tc>
          <w:tcPr>
            <w:tcW w:w="1432"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1"/>
                <w:szCs w:val="21"/>
              </w:rPr>
            </w:pPr>
            <w:r>
              <w:rPr>
                <w:rFonts w:hint="eastAsia" w:ascii="仿宋" w:hAnsi="仿宋" w:eastAsia="仿宋" w:cs="仿宋"/>
                <w:sz w:val="21"/>
                <w:szCs w:val="21"/>
                <w:lang w:eastAsia="zh-CN"/>
              </w:rPr>
              <w:t>特克斯县应急管理局</w:t>
            </w:r>
          </w:p>
        </w:tc>
        <w:tc>
          <w:tcPr>
            <w:tcW w:w="1718"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1"/>
                <w:szCs w:val="21"/>
              </w:rPr>
            </w:pPr>
            <w:r>
              <w:rPr>
                <w:rFonts w:hint="eastAsia" w:ascii="仿宋" w:hAnsi="仿宋" w:eastAsia="仿宋" w:cs="仿宋"/>
                <w:sz w:val="21"/>
                <w:szCs w:val="21"/>
              </w:rPr>
              <w:t>精神病人、智力残疾人在不能辨认或者不能控制自己行为时安全生产违法行为的</w:t>
            </w:r>
          </w:p>
        </w:tc>
        <w:tc>
          <w:tcPr>
            <w:tcW w:w="3988"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1"/>
                <w:szCs w:val="21"/>
              </w:rPr>
            </w:pPr>
            <w:r>
              <w:rPr>
                <w:rFonts w:hint="eastAsia" w:ascii="仿宋" w:hAnsi="仿宋" w:eastAsia="仿宋" w:cs="仿宋"/>
                <w:sz w:val="21"/>
                <w:szCs w:val="21"/>
              </w:rPr>
              <w:t>1.《中华人民共和国行政处罚法》第三十一条  精神病人、智力残疾人在不能辨认或者不能控制自己行为时有违法行为的，不予行政处罚，但应当责令其监护人严加看管和治疗。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1"/>
                <w:szCs w:val="21"/>
              </w:rPr>
            </w:pPr>
            <w:r>
              <w:rPr>
                <w:rFonts w:hint="eastAsia" w:ascii="仿宋" w:hAnsi="仿宋" w:eastAsia="仿宋" w:cs="仿宋"/>
                <w:sz w:val="21"/>
                <w:szCs w:val="21"/>
              </w:rPr>
              <w:t>2.《安全生产行政处罚自由裁量适用规则（试行）》第十六条第一款第四项  当事人有下列情形之一的，不予处罚：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1"/>
                <w:szCs w:val="21"/>
              </w:rPr>
            </w:pPr>
            <w:r>
              <w:rPr>
                <w:rFonts w:hint="eastAsia" w:ascii="仿宋" w:hAnsi="仿宋" w:eastAsia="仿宋" w:cs="仿宋"/>
                <w:sz w:val="21"/>
                <w:szCs w:val="21"/>
              </w:rPr>
              <w:t>（四）精神病人在不能辨认或者不能控制自己行为时实施安全生产违法行为的；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31"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1"/>
                <w:szCs w:val="21"/>
              </w:rPr>
            </w:pPr>
            <w:r>
              <w:rPr>
                <w:rFonts w:hint="eastAsia" w:ascii="仿宋" w:hAnsi="仿宋" w:eastAsia="仿宋" w:cs="仿宋"/>
                <w:sz w:val="21"/>
                <w:szCs w:val="21"/>
              </w:rPr>
              <w:t>3</w:t>
            </w:r>
          </w:p>
        </w:tc>
        <w:tc>
          <w:tcPr>
            <w:tcW w:w="65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不予行政处</w:t>
            </w:r>
            <w:r>
              <w:rPr>
                <w:rFonts w:hint="eastAsia" w:ascii="仿宋" w:hAnsi="仿宋" w:eastAsia="仿宋" w:cs="仿宋"/>
                <w:sz w:val="21"/>
                <w:szCs w:val="21"/>
                <w:lang w:eastAsia="zh-CN"/>
              </w:rPr>
              <w:t>事项</w:t>
            </w:r>
          </w:p>
        </w:tc>
        <w:tc>
          <w:tcPr>
            <w:tcW w:w="1432"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1"/>
                <w:szCs w:val="21"/>
              </w:rPr>
            </w:pPr>
            <w:r>
              <w:rPr>
                <w:rFonts w:hint="eastAsia" w:ascii="仿宋" w:hAnsi="仿宋" w:eastAsia="仿宋" w:cs="仿宋"/>
                <w:sz w:val="21"/>
                <w:szCs w:val="21"/>
                <w:lang w:eastAsia="zh-CN"/>
              </w:rPr>
              <w:t>特克斯县应急管理局</w:t>
            </w:r>
          </w:p>
        </w:tc>
        <w:tc>
          <w:tcPr>
            <w:tcW w:w="1718"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1"/>
                <w:szCs w:val="21"/>
              </w:rPr>
            </w:pPr>
            <w:r>
              <w:rPr>
                <w:rFonts w:hint="eastAsia" w:ascii="仿宋" w:hAnsi="仿宋" w:eastAsia="仿宋" w:cs="仿宋"/>
                <w:sz w:val="21"/>
                <w:szCs w:val="21"/>
              </w:rPr>
              <w:t>安全生产违法行为在两年内未被发现的，涉及公民生命健康安全且有危害后果的安全生产违法行为在五年内未被发现的。</w:t>
            </w:r>
          </w:p>
        </w:tc>
        <w:tc>
          <w:tcPr>
            <w:tcW w:w="3988"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1"/>
                <w:szCs w:val="21"/>
              </w:rPr>
            </w:pPr>
            <w:r>
              <w:rPr>
                <w:rFonts w:hint="eastAsia" w:ascii="仿宋" w:hAnsi="仿宋" w:eastAsia="仿宋" w:cs="仿宋"/>
                <w:sz w:val="21"/>
                <w:szCs w:val="21"/>
              </w:rPr>
              <w:t>1.《中华人民共和国行政处罚法》第三十六条第一款  违法行为在两年内未被发现的，不再给予行政处罚；涉及公民生命健康安全、金融安全且有危害后果的，上述期限延长至五年。法律另有规定的除外。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1"/>
                <w:szCs w:val="21"/>
              </w:rPr>
            </w:pPr>
            <w:r>
              <w:rPr>
                <w:rFonts w:hint="eastAsia" w:ascii="仿宋" w:hAnsi="仿宋" w:eastAsia="仿宋" w:cs="仿宋"/>
                <w:sz w:val="21"/>
                <w:szCs w:val="21"/>
              </w:rPr>
              <w:t>2.《安全生产行政处罚自由裁量适用规则（试行）》第十六条第一款第五项  当事人有下列情形之一的，不予处罚：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1"/>
                <w:szCs w:val="21"/>
              </w:rPr>
            </w:pPr>
            <w:r>
              <w:rPr>
                <w:rFonts w:hint="eastAsia" w:ascii="仿宋" w:hAnsi="仿宋" w:eastAsia="仿宋" w:cs="仿宋"/>
                <w:sz w:val="21"/>
                <w:szCs w:val="21"/>
              </w:rPr>
              <w:t>（五）安全生产违法行为在两年内未被发现的，法律另有规定的除外；</w:t>
            </w:r>
          </w:p>
        </w:tc>
      </w:tr>
    </w:tbl>
    <w:p>
      <w:bookmarkStart w:id="0" w:name="_GoBack"/>
      <w:bookmarkEnd w:id="0"/>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08E52871-8FC4-4D7A-99B2-C01F209C254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NTU2NDYzNzU5NDg0Zjk3ODBjNWNiZjVjYWJlNmYifQ=="/>
  </w:docVars>
  <w:rsids>
    <w:rsidRoot w:val="7AE125D8"/>
    <w:rsid w:val="098A290C"/>
    <w:rsid w:val="204038B5"/>
    <w:rsid w:val="2CD2468E"/>
    <w:rsid w:val="35262C3A"/>
    <w:rsid w:val="46002839"/>
    <w:rsid w:val="4CA62F95"/>
    <w:rsid w:val="5D7B2340"/>
    <w:rsid w:val="5F554B4B"/>
    <w:rsid w:val="62165561"/>
    <w:rsid w:val="634B2A98"/>
    <w:rsid w:val="67931B01"/>
    <w:rsid w:val="7AE125D8"/>
    <w:rsid w:val="7B70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2023-12-13T04:39:00Z</dcterms:created>
  <dc:creator>Administrator</dc:creator>
  <cp:lastModifiedBy>Ryt</cp:lastModifiedBy>
  <cp:lastPrinted>2023-12-13T09:05:00Z</cp:lastPrinted>
  <dcterms:modified xsi:type="dcterms:W3CDTF">2024-07-10T08:07:55Z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307E7BCE7C274689BF0379C80C934833_11</vt:lpwstr>
  </property>
</Properties>
</file>